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1" w:rsidRDefault="0045775A">
      <w:pPr>
        <w:suppressAutoHyphens/>
        <w:jc w:val="center"/>
        <w:rPr>
          <w:b/>
          <w:bCs/>
          <w:szCs w:val="24"/>
          <w:lang w:val="ru-RU" w:eastAsia="lt-LT"/>
        </w:rPr>
      </w:pPr>
      <w:r w:rsidRPr="0045775A">
        <w:rPr>
          <w:noProof/>
          <w:sz w:val="20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7.25pt;margin-top:13.8pt;width:135pt;height:27pt;z-index:251657728;visibility:visible" stroked="f">
            <v:textbox>
              <w:txbxContent>
                <w:p w:rsidR="00594591" w:rsidRDefault="00594591">
                  <w:pPr>
                    <w:suppressAutoHyphens/>
                    <w:rPr>
                      <w:b/>
                      <w:szCs w:val="24"/>
                      <w:lang w:eastAsia="ar-SA"/>
                    </w:rPr>
                  </w:pPr>
                </w:p>
              </w:txbxContent>
            </v:textbox>
          </v:shape>
        </w:pict>
      </w:r>
    </w:p>
    <w:p w:rsidR="004E1541" w:rsidRDefault="004E1541" w:rsidP="00B3645A">
      <w:pPr>
        <w:rPr>
          <w:szCs w:val="24"/>
          <w:lang w:eastAsia="lt-LT"/>
        </w:rPr>
      </w:pPr>
    </w:p>
    <w:p w:rsidR="004E1541" w:rsidRDefault="004E1541">
      <w:pPr>
        <w:jc w:val="center"/>
        <w:rPr>
          <w:szCs w:val="24"/>
          <w:lang w:eastAsia="lt-LT"/>
        </w:rPr>
      </w:pPr>
    </w:p>
    <w:p w:rsidR="00B17DC4" w:rsidRDefault="00B17DC4">
      <w:pPr>
        <w:ind w:firstLine="5394"/>
        <w:jc w:val="center"/>
        <w:rPr>
          <w:szCs w:val="24"/>
          <w:lang w:eastAsia="lt-LT"/>
        </w:rPr>
      </w:pPr>
    </w:p>
    <w:p w:rsidR="004E1541" w:rsidRDefault="004B5754">
      <w:pPr>
        <w:ind w:firstLine="5394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4E1541" w:rsidRDefault="004E1541">
      <w:pPr>
        <w:suppressAutoHyphens/>
        <w:rPr>
          <w:szCs w:val="24"/>
          <w:lang w:eastAsia="ar-SA"/>
        </w:rPr>
      </w:pPr>
    </w:p>
    <w:p w:rsidR="004B5754" w:rsidRDefault="004B5754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 xml:space="preserve"> </w:t>
      </w:r>
      <w:r w:rsidR="00B3645A">
        <w:rPr>
          <w:b/>
          <w:szCs w:val="24"/>
          <w:lang w:val="pt-BR" w:eastAsia="zh-CN"/>
        </w:rPr>
        <w:t xml:space="preserve"> PRIEŠGAISRINĖS</w:t>
      </w:r>
      <w:r>
        <w:rPr>
          <w:b/>
          <w:szCs w:val="24"/>
          <w:lang w:val="pt-BR" w:eastAsia="zh-CN"/>
        </w:rPr>
        <w:t xml:space="preserve"> APSAUGOS</w:t>
      </w:r>
      <w:r w:rsidR="00B3645A">
        <w:rPr>
          <w:b/>
          <w:szCs w:val="24"/>
          <w:lang w:val="pt-BR" w:eastAsia="zh-CN"/>
        </w:rPr>
        <w:t xml:space="preserve"> TARNYBOS</w:t>
      </w:r>
      <w:r>
        <w:rPr>
          <w:b/>
          <w:szCs w:val="24"/>
          <w:lang w:val="pt-BR" w:eastAsia="zh-CN"/>
        </w:rPr>
        <w:t xml:space="preserve"> </w:t>
      </w:r>
    </w:p>
    <w:p w:rsidR="004E1541" w:rsidRDefault="004B5754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>PRIE ŠVENČIONIŲ RAJONO SAVIVALDYBĖS ADMINISTRACIJOS</w:t>
      </w:r>
    </w:p>
    <w:p w:rsidR="004E1541" w:rsidRDefault="00203B4C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 xml:space="preserve"> </w:t>
      </w:r>
      <w:r w:rsidR="004B5754">
        <w:rPr>
          <w:b/>
          <w:szCs w:val="24"/>
          <w:lang w:val="pt-BR" w:eastAsia="zh-CN"/>
        </w:rPr>
        <w:t xml:space="preserve"> </w:t>
      </w:r>
      <w:r w:rsidR="00B3645A">
        <w:rPr>
          <w:b/>
          <w:szCs w:val="24"/>
          <w:lang w:val="pt-BR" w:eastAsia="zh-CN"/>
        </w:rPr>
        <w:t>201</w:t>
      </w:r>
      <w:r w:rsidR="005D7E18">
        <w:rPr>
          <w:b/>
          <w:szCs w:val="24"/>
          <w:lang w:val="pt-BR" w:eastAsia="zh-CN"/>
        </w:rPr>
        <w:t>9</w:t>
      </w:r>
      <w:r w:rsidR="00B3645A">
        <w:rPr>
          <w:b/>
          <w:szCs w:val="24"/>
          <w:lang w:val="pt-BR" w:eastAsia="zh-CN"/>
        </w:rPr>
        <w:t xml:space="preserve"> METŲ VEIKLOS ATASKAITA </w:t>
      </w:r>
    </w:p>
    <w:p w:rsidR="004E1541" w:rsidRDefault="004E1541">
      <w:pPr>
        <w:suppressAutoHyphens/>
        <w:rPr>
          <w:b/>
          <w:szCs w:val="24"/>
          <w:lang w:val="pt-BR" w:eastAsia="zh-CN"/>
        </w:rPr>
      </w:pPr>
    </w:p>
    <w:p w:rsidR="004E1541" w:rsidRDefault="004E1541">
      <w:pPr>
        <w:suppressAutoHyphens/>
        <w:rPr>
          <w:b/>
          <w:szCs w:val="24"/>
          <w:lang w:val="pt-BR" w:eastAsia="zh-CN"/>
        </w:rPr>
      </w:pPr>
    </w:p>
    <w:p w:rsidR="004E1541" w:rsidRDefault="00B3645A">
      <w:pPr>
        <w:suppressAutoHyphens/>
        <w:jc w:val="center"/>
        <w:rPr>
          <w:b/>
          <w:szCs w:val="24"/>
          <w:lang w:val="pt-BR" w:eastAsia="zh-CN"/>
        </w:rPr>
      </w:pPr>
      <w:r>
        <w:rPr>
          <w:b/>
          <w:szCs w:val="24"/>
          <w:lang w:val="pt-BR" w:eastAsia="zh-CN"/>
        </w:rPr>
        <w:t>I. BENDRA INFORMACIJA</w:t>
      </w:r>
      <w:r>
        <w:rPr>
          <w:b/>
          <w:strike/>
          <w:szCs w:val="24"/>
          <w:lang w:val="pt-BR" w:eastAsia="zh-CN"/>
        </w:rPr>
        <w:t xml:space="preserve"> </w:t>
      </w:r>
    </w:p>
    <w:p w:rsidR="004E1541" w:rsidRDefault="004E1541">
      <w:pPr>
        <w:suppressAutoHyphens/>
        <w:ind w:left="1296"/>
        <w:jc w:val="center"/>
        <w:rPr>
          <w:b/>
          <w:szCs w:val="24"/>
          <w:lang w:val="pt-BR" w:eastAsia="zh-CN"/>
        </w:rPr>
      </w:pPr>
    </w:p>
    <w:p w:rsidR="004E1541" w:rsidRDefault="004B575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 apsaugos tarnyba prie Švenčionių rajono savivaldybės administracijos</w:t>
      </w:r>
      <w:r w:rsidR="00B3645A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</w:t>
      </w:r>
      <w:r w:rsidR="00B3645A">
        <w:rPr>
          <w:szCs w:val="24"/>
          <w:lang w:eastAsia="zh-CN"/>
        </w:rPr>
        <w:t xml:space="preserve"> (toliau tekste – priešgaisrinė tarnyba) yra savivaldybės biudžetinė įstaiga – nuolatinės parengties civilinės saugos ir gelbėjimo sistemos dalis. Priešgaisrinės tarnybos paskirtis – gesinti gaisrus ir atlikti pirminius žmonių bei turto gelbėjimo darbus. Priešgaisrinės tarnybos ugniagesių komandos į įvykius vyksta pagal patvirtintus pajėgų sutelkimo planus. Iškvietimą į įvykius atlieka Valstybinės priešgaisrinės gelbėjimo tarnybos Bendrasis pagalbos centras.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Priešgaisrinės tarnybos buveinė </w:t>
      </w:r>
      <w:r w:rsidR="004B5754">
        <w:rPr>
          <w:szCs w:val="24"/>
          <w:lang w:eastAsia="zh-CN"/>
        </w:rPr>
        <w:t>Vilniaus 19, Švenčionys</w:t>
      </w:r>
      <w:r>
        <w:rPr>
          <w:szCs w:val="24"/>
          <w:lang w:eastAsia="zh-CN"/>
        </w:rPr>
        <w:t xml:space="preserve">. Tel. </w:t>
      </w:r>
      <w:r w:rsidR="004B5754">
        <w:rPr>
          <w:szCs w:val="24"/>
          <w:lang w:eastAsia="zh-CN"/>
        </w:rPr>
        <w:t>+370 61032130</w:t>
      </w:r>
      <w:r>
        <w:rPr>
          <w:szCs w:val="24"/>
          <w:lang w:eastAsia="zh-CN"/>
        </w:rPr>
        <w:t xml:space="preserve">,  el. paštas </w:t>
      </w:r>
      <w:proofErr w:type="spellStart"/>
      <w:r w:rsidR="004B5754">
        <w:rPr>
          <w:szCs w:val="24"/>
          <w:lang w:eastAsia="zh-CN"/>
        </w:rPr>
        <w:t>priešgaisrine@svencionys.lt</w:t>
      </w:r>
      <w:proofErr w:type="spellEnd"/>
      <w:r>
        <w:rPr>
          <w:szCs w:val="24"/>
          <w:lang w:eastAsia="zh-CN"/>
        </w:rPr>
        <w:t>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 tarnyba yra savarankiškas juridinis asmuo (</w:t>
      </w:r>
      <w:proofErr w:type="spellStart"/>
      <w:r>
        <w:rPr>
          <w:szCs w:val="24"/>
          <w:lang w:eastAsia="zh-CN"/>
        </w:rPr>
        <w:t>įm</w:t>
      </w:r>
      <w:proofErr w:type="spellEnd"/>
      <w:r>
        <w:rPr>
          <w:szCs w:val="24"/>
          <w:lang w:eastAsia="zh-CN"/>
        </w:rPr>
        <w:t xml:space="preserve">. kodas </w:t>
      </w:r>
      <w:r w:rsidR="004B5754">
        <w:rPr>
          <w:szCs w:val="24"/>
          <w:lang w:eastAsia="zh-CN"/>
        </w:rPr>
        <w:t>300093114</w:t>
      </w:r>
      <w:r>
        <w:rPr>
          <w:szCs w:val="24"/>
          <w:lang w:eastAsia="zh-CN"/>
        </w:rPr>
        <w:t>), turintis antspaudą su įstaigos pavadinimu, sąskaitas banke. Priešgaisrinės tarnybos finansiniai metai sutampa su kalendoriniais metais. Įstaiga nėra PVM mokėtoja.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Priešgaisrinės tarnybos veiklos laikotarpis neterminuotas. Priešgaisrinės tarnybos veikla pagal ekonominės veiklos rūšių klasifikatorių – priešgaisrinių tarnybų veikla (00.84.25).</w:t>
      </w:r>
      <w:r w:rsidR="004B5754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Priešgaisrinės tarnybos struktūrą sudaro </w:t>
      </w:r>
      <w:r w:rsidR="004B5754">
        <w:rPr>
          <w:szCs w:val="24"/>
          <w:lang w:eastAsia="zh-CN"/>
        </w:rPr>
        <w:t>viršininkas</w:t>
      </w:r>
      <w:r>
        <w:rPr>
          <w:szCs w:val="24"/>
          <w:lang w:eastAsia="zh-CN"/>
        </w:rPr>
        <w:t xml:space="preserve"> ir </w:t>
      </w:r>
      <w:r w:rsidR="004B5754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padaliniai (</w:t>
      </w:r>
      <w:r w:rsidR="004B5754">
        <w:rPr>
          <w:szCs w:val="24"/>
          <w:lang w:eastAsia="zh-CN"/>
        </w:rPr>
        <w:t xml:space="preserve">Adutiškio, Prienų ir </w:t>
      </w:r>
      <w:proofErr w:type="spellStart"/>
      <w:r w:rsidR="004B5754">
        <w:rPr>
          <w:szCs w:val="24"/>
          <w:lang w:eastAsia="zh-CN"/>
        </w:rPr>
        <w:t>Sarių</w:t>
      </w:r>
      <w:proofErr w:type="spellEnd"/>
      <w:r>
        <w:rPr>
          <w:szCs w:val="24"/>
          <w:lang w:eastAsia="zh-CN"/>
        </w:rPr>
        <w:t xml:space="preserve"> ugniagesių komandos).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2"/>
          <w:lang w:eastAsia="zh-CN"/>
        </w:rPr>
      </w:pPr>
      <w:r>
        <w:rPr>
          <w:szCs w:val="22"/>
          <w:lang w:eastAsia="zh-CN"/>
        </w:rPr>
        <w:t xml:space="preserve">Siekdamas spręsti rajono gyventojų saugumo problemas ir užtikrinti ugniagesių tarnybos pasiruošimą vykdyti funkcijas, nuolat </w:t>
      </w:r>
      <w:r w:rsidR="004B5754">
        <w:rPr>
          <w:szCs w:val="22"/>
          <w:lang w:eastAsia="zh-CN"/>
        </w:rPr>
        <w:t>bendradarbiaujame</w:t>
      </w:r>
      <w:r>
        <w:rPr>
          <w:szCs w:val="22"/>
          <w:lang w:eastAsia="zh-CN"/>
        </w:rPr>
        <w:t xml:space="preserve"> su </w:t>
      </w:r>
      <w:r w:rsidR="004B5754">
        <w:rPr>
          <w:szCs w:val="22"/>
          <w:lang w:eastAsia="zh-CN"/>
        </w:rPr>
        <w:t>Švenčionių</w:t>
      </w:r>
      <w:r>
        <w:rPr>
          <w:szCs w:val="22"/>
          <w:lang w:eastAsia="zh-CN"/>
        </w:rPr>
        <w:t xml:space="preserve"> priešgaisrinės gelbėjimo tarnyb</w:t>
      </w:r>
      <w:r w:rsidR="004B5754">
        <w:rPr>
          <w:szCs w:val="22"/>
          <w:lang w:eastAsia="zh-CN"/>
        </w:rPr>
        <w:t>a</w:t>
      </w:r>
      <w:r>
        <w:rPr>
          <w:szCs w:val="22"/>
          <w:lang w:eastAsia="zh-CN"/>
        </w:rPr>
        <w:t xml:space="preserve"> ir kaimyninių rajonų savivaldybių priešgaisrinių tarnyb</w:t>
      </w:r>
      <w:r w:rsidR="004B5754">
        <w:rPr>
          <w:szCs w:val="22"/>
          <w:lang w:eastAsia="zh-CN"/>
        </w:rPr>
        <w:t>omis.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201</w:t>
      </w:r>
      <w:r w:rsidR="00930D4D">
        <w:rPr>
          <w:szCs w:val="24"/>
          <w:lang w:eastAsia="zh-CN"/>
        </w:rPr>
        <w:t>6</w:t>
      </w:r>
      <w:r>
        <w:rPr>
          <w:szCs w:val="24"/>
          <w:lang w:eastAsia="zh-CN"/>
        </w:rPr>
        <w:t xml:space="preserve"> metais, kad tarnybai </w:t>
      </w:r>
      <w:r w:rsidR="00930D4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suteiktas paramos gavėjo statusas</w:t>
      </w:r>
      <w:r w:rsidR="00930D4D">
        <w:rPr>
          <w:szCs w:val="24"/>
          <w:lang w:eastAsia="zh-CN"/>
        </w:rPr>
        <w:t>.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Siek</w:t>
      </w:r>
      <w:r w:rsidR="00930D4D">
        <w:rPr>
          <w:szCs w:val="24"/>
          <w:lang w:eastAsia="zh-CN"/>
        </w:rPr>
        <w:t>iant</w:t>
      </w:r>
      <w:r>
        <w:rPr>
          <w:szCs w:val="24"/>
          <w:lang w:eastAsia="zh-CN"/>
        </w:rPr>
        <w:t xml:space="preserve"> užtikrinti tinkamą darbuotojų parengtį, kartu su </w:t>
      </w:r>
      <w:r w:rsidR="00930D4D">
        <w:rPr>
          <w:szCs w:val="22"/>
          <w:lang w:eastAsia="zh-CN"/>
        </w:rPr>
        <w:t>Švenčionių</w:t>
      </w:r>
      <w:r>
        <w:rPr>
          <w:szCs w:val="22"/>
          <w:lang w:eastAsia="zh-CN"/>
        </w:rPr>
        <w:t xml:space="preserve"> priešgaisrinės gelbėjimo tarnybos pareigūnais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>buvo atlikti komandų operatyviniai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>patikrinimai</w:t>
      </w:r>
      <w:r>
        <w:rPr>
          <w:szCs w:val="24"/>
          <w:lang w:eastAsia="zh-CN"/>
        </w:rPr>
        <w:t>.</w:t>
      </w:r>
    </w:p>
    <w:p w:rsidR="004E1541" w:rsidRDefault="00B3645A" w:rsidP="003E5268">
      <w:pPr>
        <w:tabs>
          <w:tab w:val="left" w:pos="1134"/>
        </w:tabs>
        <w:suppressAutoHyphens/>
        <w:ind w:firstLine="1099"/>
        <w:jc w:val="both"/>
        <w:rPr>
          <w:b/>
          <w:szCs w:val="24"/>
          <w:lang w:eastAsia="zh-CN"/>
        </w:rPr>
      </w:pPr>
      <w:r>
        <w:rPr>
          <w:szCs w:val="24"/>
          <w:lang w:eastAsia="zh-CN"/>
        </w:rPr>
        <w:t xml:space="preserve">Tarnyboje nuolat parengti </w:t>
      </w:r>
      <w:r w:rsidR="00930D4D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gaisriniai</w:t>
      </w:r>
      <w:r w:rsidR="00930D4D">
        <w:rPr>
          <w:szCs w:val="24"/>
          <w:lang w:eastAsia="zh-CN"/>
        </w:rPr>
        <w:t xml:space="preserve">   automobiliai ir</w:t>
      </w:r>
      <w:r>
        <w:rPr>
          <w:szCs w:val="24"/>
          <w:lang w:eastAsia="zh-CN"/>
        </w:rPr>
        <w:t xml:space="preserve"> </w:t>
      </w:r>
      <w:r w:rsidR="00930D4D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gaisrini</w:t>
      </w:r>
      <w:r w:rsidR="00930D4D">
        <w:rPr>
          <w:szCs w:val="24"/>
          <w:lang w:eastAsia="zh-CN"/>
        </w:rPr>
        <w:t>ai automobiliai (kiekvienoje komandoje</w:t>
      </w:r>
      <w:r w:rsidR="00E70AFD">
        <w:rPr>
          <w:szCs w:val="24"/>
          <w:lang w:eastAsia="zh-CN"/>
        </w:rPr>
        <w:t xml:space="preserve"> </w:t>
      </w:r>
      <w:proofErr w:type="spellStart"/>
      <w:r w:rsidR="00E70AFD">
        <w:rPr>
          <w:szCs w:val="24"/>
          <w:lang w:eastAsia="zh-CN"/>
        </w:rPr>
        <w:t>povieną</w:t>
      </w:r>
      <w:proofErr w:type="spellEnd"/>
      <w:r w:rsidR="00930D4D">
        <w:rPr>
          <w:szCs w:val="24"/>
          <w:lang w:eastAsia="zh-CN"/>
        </w:rPr>
        <w:t>)</w:t>
      </w:r>
      <w:r>
        <w:rPr>
          <w:szCs w:val="24"/>
          <w:lang w:eastAsia="zh-CN"/>
        </w:rPr>
        <w:t xml:space="preserve"> yra rezerve. </w:t>
      </w:r>
      <w:r w:rsidR="00930D4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</w:t>
      </w:r>
      <w:r w:rsidR="00C73919">
        <w:rPr>
          <w:szCs w:val="24"/>
          <w:lang w:eastAsia="zh-CN"/>
        </w:rPr>
        <w:t xml:space="preserve">Visi </w:t>
      </w:r>
      <w:r w:rsidR="003E5268">
        <w:rPr>
          <w:szCs w:val="24"/>
          <w:lang w:eastAsia="zh-CN"/>
        </w:rPr>
        <w:t xml:space="preserve">gaisriniai </w:t>
      </w:r>
      <w:proofErr w:type="spellStart"/>
      <w:r w:rsidR="003E5268">
        <w:rPr>
          <w:szCs w:val="24"/>
          <w:lang w:eastAsia="zh-CN"/>
        </w:rPr>
        <w:t>automabiliai</w:t>
      </w:r>
      <w:proofErr w:type="spellEnd"/>
      <w:r w:rsidR="003E5268">
        <w:rPr>
          <w:szCs w:val="24"/>
          <w:lang w:eastAsia="zh-CN"/>
        </w:rPr>
        <w:t xml:space="preserve"> yra</w:t>
      </w:r>
      <w:r>
        <w:rPr>
          <w:szCs w:val="24"/>
          <w:lang w:eastAsia="zh-CN"/>
        </w:rPr>
        <w:t xml:space="preserve"> padidinto pravažumo</w:t>
      </w:r>
      <w:r w:rsidR="003E5268">
        <w:rPr>
          <w:szCs w:val="24"/>
          <w:lang w:eastAsia="zh-CN"/>
        </w:rPr>
        <w:t>.</w:t>
      </w:r>
      <w:r>
        <w:rPr>
          <w:szCs w:val="24"/>
          <w:lang w:eastAsia="zh-CN"/>
        </w:rPr>
        <w:t xml:space="preserve"> </w:t>
      </w:r>
      <w:r w:rsidR="003E5268">
        <w:rPr>
          <w:szCs w:val="24"/>
          <w:lang w:eastAsia="zh-CN"/>
        </w:rPr>
        <w:t xml:space="preserve"> </w:t>
      </w: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B3645A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II. ŽMOGIŠKIEJI  IŠTEKLIAI</w:t>
      </w: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B3645A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1 lentelė. </w:t>
      </w:r>
      <w:r w:rsidR="00C91AAD">
        <w:rPr>
          <w:szCs w:val="24"/>
          <w:lang w:eastAsia="zh-CN"/>
        </w:rPr>
        <w:t>Švenčionių</w:t>
      </w:r>
      <w:r>
        <w:rPr>
          <w:szCs w:val="24"/>
          <w:lang w:eastAsia="zh-CN"/>
        </w:rPr>
        <w:t xml:space="preserve"> rajono priešgaisrinės tarnybos etatų sąrašas.</w:t>
      </w:r>
    </w:p>
    <w:p w:rsidR="00D45718" w:rsidRDefault="00D45718">
      <w:pPr>
        <w:suppressAutoHyphens/>
        <w:rPr>
          <w:szCs w:val="24"/>
          <w:lang w:eastAsia="zh-CN"/>
        </w:rPr>
      </w:pPr>
    </w:p>
    <w:tbl>
      <w:tblPr>
        <w:tblW w:w="9895" w:type="dxa"/>
        <w:tblInd w:w="-40" w:type="dxa"/>
        <w:tblLayout w:type="fixed"/>
        <w:tblLook w:val="0000"/>
      </w:tblPr>
      <w:tblGrid>
        <w:gridCol w:w="2490"/>
        <w:gridCol w:w="3045"/>
        <w:gridCol w:w="1860"/>
        <w:gridCol w:w="2500"/>
      </w:tblGrid>
      <w:tr w:rsidR="004E1541" w:rsidTr="00793424">
        <w:trPr>
          <w:cantSplit/>
          <w:trHeight w:val="28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Pareigybės pavadinimas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 w:rsidP="006F741A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Pareigybės</w:t>
            </w:r>
            <w:r w:rsidR="006F741A">
              <w:rPr>
                <w:szCs w:val="24"/>
                <w:lang w:eastAsia="zh-CN"/>
              </w:rPr>
              <w:t xml:space="preserve"> algos pastovios dalies</w:t>
            </w:r>
            <w:r>
              <w:rPr>
                <w:szCs w:val="24"/>
                <w:lang w:eastAsia="zh-CN"/>
              </w:rPr>
              <w:t xml:space="preserve"> </w:t>
            </w:r>
            <w:r w:rsidR="006F741A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 xml:space="preserve"> </w:t>
            </w:r>
            <w:r w:rsidR="006F741A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koeficientas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Etatų skaičius (vnt.)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Faktiškai užimta etatų </w:t>
            </w:r>
          </w:p>
          <w:p w:rsidR="004E1541" w:rsidRDefault="00A528E3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(vnt.) </w:t>
            </w:r>
          </w:p>
        </w:tc>
      </w:tr>
      <w:tr w:rsidR="004E1541" w:rsidTr="0079342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Viršininkas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1B2A71">
            <w:pPr>
              <w:suppressAutoHyphens/>
              <w:ind w:right="57"/>
              <w:jc w:val="center"/>
              <w:rPr>
                <w:cap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541" w:rsidRDefault="00B3645A">
            <w:pPr>
              <w:suppressAutoHyphens/>
              <w:snapToGrid w:val="0"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</w:p>
        </w:tc>
      </w:tr>
      <w:tr w:rsidR="003E5268" w:rsidTr="0079342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 w:rsidP="007C3376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Skyrininkas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16C67" w:rsidP="00316C67">
            <w:pPr>
              <w:suppressAutoHyphens/>
              <w:ind w:right="57"/>
              <w:jc w:val="center"/>
              <w:rPr>
                <w:caps/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3,8</w:t>
            </w:r>
            <w:r w:rsidR="006F741A"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 w:rsidR="006F741A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>3,85</w:t>
            </w:r>
            <w:r w:rsidR="006F741A">
              <w:rPr>
                <w:caps/>
                <w:szCs w:val="24"/>
                <w:lang w:eastAsia="zh-CN"/>
              </w:rPr>
              <w:t>;</w:t>
            </w:r>
            <w:r w:rsidR="001B2A71">
              <w:rPr>
                <w:caps/>
                <w:szCs w:val="24"/>
                <w:lang w:eastAsia="zh-CN"/>
              </w:rPr>
              <w:t xml:space="preserve"> </w:t>
            </w:r>
            <w:r w:rsidR="006F741A">
              <w:rPr>
                <w:caps/>
                <w:szCs w:val="24"/>
                <w:lang w:eastAsia="zh-CN"/>
              </w:rPr>
              <w:t xml:space="preserve">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>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 w:rsidP="007C3376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68" w:rsidRDefault="003E5268" w:rsidP="007C3376">
            <w:pPr>
              <w:suppressAutoHyphens/>
              <w:snapToGrid w:val="0"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</w:t>
            </w:r>
          </w:p>
        </w:tc>
      </w:tr>
      <w:tr w:rsidR="003E5268" w:rsidTr="0079342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Ugniagesys gelbėtojas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16C67" w:rsidP="00316C67">
            <w:pPr>
              <w:suppressAutoHyphens/>
              <w:ind w:right="57"/>
              <w:jc w:val="center"/>
              <w:rPr>
                <w:caps/>
                <w:szCs w:val="24"/>
                <w:lang w:eastAsia="zh-CN"/>
              </w:rPr>
            </w:pPr>
            <w:r>
              <w:rPr>
                <w:caps/>
                <w:szCs w:val="24"/>
                <w:lang w:eastAsia="zh-CN"/>
              </w:rPr>
              <w:t>3,31</w:t>
            </w:r>
            <w:r w:rsidR="006F741A"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 w:rsidR="006F741A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>3,34</w:t>
            </w:r>
            <w:r w:rsidR="006F741A"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</w:t>
            </w:r>
            <w:r w:rsidR="006F741A">
              <w:rPr>
                <w:caps/>
                <w:szCs w:val="24"/>
                <w:lang w:eastAsia="zh-CN"/>
              </w:rPr>
              <w:t xml:space="preserve"> </w:t>
            </w:r>
            <w:r>
              <w:rPr>
                <w:caps/>
                <w:szCs w:val="24"/>
                <w:lang w:eastAsia="zh-CN"/>
              </w:rPr>
              <w:t>3,36</w:t>
            </w:r>
            <w:r w:rsidR="006F741A">
              <w:rPr>
                <w:caps/>
                <w:szCs w:val="24"/>
                <w:lang w:eastAsia="zh-CN"/>
              </w:rPr>
              <w:t xml:space="preserve">; </w:t>
            </w:r>
            <w:r w:rsidR="00793424">
              <w:rPr>
                <w:caps/>
                <w:szCs w:val="24"/>
                <w:lang w:eastAsia="zh-CN"/>
              </w:rPr>
              <w:t xml:space="preserve">  </w:t>
            </w:r>
            <w:r>
              <w:rPr>
                <w:caps/>
                <w:szCs w:val="24"/>
                <w:lang w:eastAsia="zh-CN"/>
              </w:rPr>
              <w:t>3,38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268" w:rsidRDefault="003E5268">
            <w:pPr>
              <w:suppressAutoHyphens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68" w:rsidRDefault="003E5268" w:rsidP="005D7E18">
            <w:pPr>
              <w:suppressAutoHyphens/>
              <w:snapToGrid w:val="0"/>
              <w:ind w:right="57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</w:t>
            </w:r>
            <w:r w:rsidR="005D7E18">
              <w:rPr>
                <w:szCs w:val="24"/>
                <w:lang w:eastAsia="zh-CN"/>
              </w:rPr>
              <w:t>4</w:t>
            </w:r>
          </w:p>
        </w:tc>
      </w:tr>
    </w:tbl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164C5D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5268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Priešgaisrinėje tarnyboje 201</w:t>
      </w:r>
      <w:r w:rsidR="00273EB3">
        <w:rPr>
          <w:szCs w:val="24"/>
          <w:lang w:eastAsia="zh-CN"/>
        </w:rPr>
        <w:t>9</w:t>
      </w:r>
      <w:r>
        <w:rPr>
          <w:szCs w:val="24"/>
          <w:lang w:eastAsia="zh-CN"/>
        </w:rPr>
        <w:t xml:space="preserve"> m. gruodžio 31 d. dirbo </w:t>
      </w:r>
      <w:r w:rsidR="005D7E18">
        <w:rPr>
          <w:szCs w:val="24"/>
          <w:lang w:eastAsia="zh-CN"/>
        </w:rPr>
        <w:t>28</w:t>
      </w:r>
      <w:r>
        <w:rPr>
          <w:szCs w:val="24"/>
          <w:lang w:eastAsia="zh-CN"/>
        </w:rPr>
        <w:t xml:space="preserve"> darbuotojai</w:t>
      </w:r>
      <w:r w:rsidR="003E5268">
        <w:rPr>
          <w:szCs w:val="24"/>
          <w:lang w:eastAsia="zh-CN"/>
        </w:rPr>
        <w:t>.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color w:val="FF0000"/>
          <w:szCs w:val="24"/>
          <w:lang w:eastAsia="zh-CN"/>
        </w:rPr>
      </w:pPr>
      <w:r>
        <w:rPr>
          <w:szCs w:val="22"/>
          <w:lang w:eastAsia="zh-CN"/>
        </w:rPr>
        <w:t xml:space="preserve">Visose ugniagesių komandose kartu su </w:t>
      </w:r>
      <w:r w:rsidR="003E5268">
        <w:rPr>
          <w:szCs w:val="22"/>
          <w:lang w:eastAsia="zh-CN"/>
        </w:rPr>
        <w:t>Švenčionių</w:t>
      </w:r>
      <w:r>
        <w:rPr>
          <w:szCs w:val="22"/>
          <w:lang w:eastAsia="zh-CN"/>
        </w:rPr>
        <w:t xml:space="preserve"> priešgaisrinės gelbėjimo tarnyb</w:t>
      </w:r>
      <w:r w:rsidR="003E5268">
        <w:rPr>
          <w:szCs w:val="22"/>
          <w:lang w:eastAsia="zh-CN"/>
        </w:rPr>
        <w:t xml:space="preserve">a </w:t>
      </w:r>
      <w:r>
        <w:rPr>
          <w:szCs w:val="22"/>
          <w:lang w:eastAsia="zh-CN"/>
        </w:rPr>
        <w:t xml:space="preserve">pareigūnais </w:t>
      </w:r>
      <w:r w:rsidR="003E5268">
        <w:rPr>
          <w:szCs w:val="22"/>
          <w:lang w:eastAsia="zh-CN"/>
        </w:rPr>
        <w:t>vykdomi</w:t>
      </w:r>
      <w:r>
        <w:rPr>
          <w:szCs w:val="22"/>
          <w:lang w:eastAsia="zh-CN"/>
        </w:rPr>
        <w:t xml:space="preserve"> darbuotojų mokym</w:t>
      </w:r>
      <w:r w:rsidR="003E5268">
        <w:rPr>
          <w:szCs w:val="22"/>
          <w:lang w:eastAsia="zh-CN"/>
        </w:rPr>
        <w:t>ai</w:t>
      </w:r>
      <w:r>
        <w:rPr>
          <w:szCs w:val="22"/>
          <w:lang w:eastAsia="zh-CN"/>
        </w:rPr>
        <w:t xml:space="preserve"> (ketverios mokomosios ir taktinės pratybos).  Mokymų metu buvo tobulinami darbuotojų įgūdžiai. </w:t>
      </w:r>
      <w:r w:rsidR="003E5268">
        <w:rPr>
          <w:szCs w:val="24"/>
          <w:lang w:eastAsia="zh-CN"/>
        </w:rPr>
        <w:t xml:space="preserve"> </w:t>
      </w:r>
    </w:p>
    <w:p w:rsidR="004E1541" w:rsidRDefault="00B3645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Vidutinis darbuotojų, dirbančių ugniagesių komandose, amžius: </w:t>
      </w:r>
      <w:r w:rsidR="001B2A71">
        <w:rPr>
          <w:szCs w:val="24"/>
          <w:lang w:eastAsia="zh-CN"/>
        </w:rPr>
        <w:t>Adutiškio</w:t>
      </w:r>
      <w:r>
        <w:rPr>
          <w:szCs w:val="24"/>
          <w:lang w:eastAsia="zh-CN"/>
        </w:rPr>
        <w:t xml:space="preserve"> ugniagesių komandoje – </w:t>
      </w:r>
      <w:r w:rsidR="001B2A71">
        <w:rPr>
          <w:szCs w:val="24"/>
          <w:lang w:eastAsia="zh-CN"/>
        </w:rPr>
        <w:t>4</w:t>
      </w:r>
      <w:r w:rsidR="005D7E18">
        <w:rPr>
          <w:szCs w:val="24"/>
          <w:lang w:eastAsia="zh-CN"/>
        </w:rPr>
        <w:t>7</w:t>
      </w:r>
      <w:r w:rsidR="001B2A71">
        <w:rPr>
          <w:szCs w:val="24"/>
          <w:lang w:eastAsia="zh-CN"/>
        </w:rPr>
        <w:t>.4</w:t>
      </w:r>
      <w:r>
        <w:rPr>
          <w:szCs w:val="24"/>
          <w:lang w:eastAsia="zh-CN"/>
        </w:rPr>
        <w:t xml:space="preserve"> metai, </w:t>
      </w:r>
      <w:r w:rsidR="001B2A71">
        <w:rPr>
          <w:szCs w:val="24"/>
          <w:lang w:eastAsia="zh-CN"/>
        </w:rPr>
        <w:t>Prienų</w:t>
      </w:r>
      <w:r>
        <w:rPr>
          <w:szCs w:val="24"/>
          <w:lang w:eastAsia="zh-CN"/>
        </w:rPr>
        <w:t xml:space="preserve"> ugniagesių komandoje – </w:t>
      </w:r>
      <w:r w:rsidR="001B2A71">
        <w:rPr>
          <w:szCs w:val="24"/>
          <w:lang w:eastAsia="zh-CN"/>
        </w:rPr>
        <w:t>5</w:t>
      </w:r>
      <w:r w:rsidR="005D7E18">
        <w:rPr>
          <w:szCs w:val="24"/>
          <w:lang w:eastAsia="zh-CN"/>
        </w:rPr>
        <w:t>0</w:t>
      </w:r>
      <w:r w:rsidR="001B2A71">
        <w:rPr>
          <w:szCs w:val="24"/>
          <w:lang w:eastAsia="zh-CN"/>
        </w:rPr>
        <w:t>,8</w:t>
      </w:r>
      <w:r>
        <w:rPr>
          <w:szCs w:val="24"/>
          <w:lang w:eastAsia="zh-CN"/>
        </w:rPr>
        <w:t xml:space="preserve"> metų, </w:t>
      </w:r>
      <w:proofErr w:type="spellStart"/>
      <w:r w:rsidR="001B2A71">
        <w:rPr>
          <w:szCs w:val="24"/>
          <w:lang w:eastAsia="zh-CN"/>
        </w:rPr>
        <w:t>Sarių</w:t>
      </w:r>
      <w:proofErr w:type="spellEnd"/>
      <w:r>
        <w:rPr>
          <w:szCs w:val="24"/>
          <w:lang w:eastAsia="zh-CN"/>
        </w:rPr>
        <w:t xml:space="preserve"> ugniagesių komandoje –  </w:t>
      </w:r>
      <w:r w:rsidR="001B2A71">
        <w:rPr>
          <w:szCs w:val="24"/>
          <w:lang w:eastAsia="zh-CN"/>
        </w:rPr>
        <w:t>4</w:t>
      </w:r>
      <w:r w:rsidR="005D7E18">
        <w:rPr>
          <w:szCs w:val="24"/>
          <w:lang w:eastAsia="zh-CN"/>
        </w:rPr>
        <w:t>8</w:t>
      </w:r>
      <w:r w:rsidR="001B2A71">
        <w:rPr>
          <w:szCs w:val="24"/>
          <w:lang w:eastAsia="zh-CN"/>
        </w:rPr>
        <w:t>,</w:t>
      </w:r>
      <w:r w:rsidR="005D7E18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metų.</w:t>
      </w:r>
    </w:p>
    <w:p w:rsidR="004E1541" w:rsidRDefault="004E1541">
      <w:pPr>
        <w:suppressAutoHyphens/>
        <w:jc w:val="both"/>
        <w:rPr>
          <w:szCs w:val="24"/>
          <w:lang w:eastAsia="zh-CN"/>
        </w:rPr>
      </w:pPr>
    </w:p>
    <w:p w:rsidR="004E1541" w:rsidRDefault="00B3645A">
      <w:pPr>
        <w:suppressAutoHyphens/>
        <w:jc w:val="center"/>
        <w:rPr>
          <w:rFonts w:ascii="Arial" w:hAnsi="Arial"/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III. TARNYBOS FINANSAVIMAS IR TURTO VALDYMAS</w:t>
      </w:r>
    </w:p>
    <w:p w:rsidR="004E1541" w:rsidRDefault="004E1541">
      <w:pPr>
        <w:suppressAutoHyphens/>
        <w:rPr>
          <w:szCs w:val="24"/>
          <w:lang w:eastAsia="zh-CN"/>
        </w:rPr>
      </w:pPr>
    </w:p>
    <w:p w:rsidR="004E1541" w:rsidRDefault="00B3645A">
      <w:pPr>
        <w:tabs>
          <w:tab w:val="left" w:pos="1134"/>
        </w:tabs>
        <w:suppressAutoHyphens/>
        <w:ind w:firstLine="1134"/>
        <w:rPr>
          <w:szCs w:val="24"/>
          <w:lang w:eastAsia="zh-CN"/>
        </w:rPr>
      </w:pPr>
      <w:r>
        <w:rPr>
          <w:szCs w:val="24"/>
          <w:lang w:eastAsia="zh-CN"/>
        </w:rPr>
        <w:t>Tarnyba finansuojama iš valstybės ir savivaldybės biudžeto pagal patvirtintas sąmatas.</w:t>
      </w:r>
    </w:p>
    <w:p w:rsidR="004E1541" w:rsidRDefault="00B3645A">
      <w:pPr>
        <w:suppressAutoHyphens/>
        <w:ind w:firstLine="62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2 lentelė. </w:t>
      </w:r>
      <w:r w:rsidR="001B2A71">
        <w:rPr>
          <w:szCs w:val="24"/>
          <w:lang w:eastAsia="zh-CN"/>
        </w:rPr>
        <w:t xml:space="preserve">Priešgaisrinė apsaugos tarnybos prie Švenčionių rajono savivaldybės administracijos   </w:t>
      </w:r>
      <w:r>
        <w:rPr>
          <w:szCs w:val="24"/>
          <w:lang w:eastAsia="zh-CN"/>
        </w:rPr>
        <w:t>išlaidos 201</w:t>
      </w:r>
      <w:r w:rsidR="005D7E18">
        <w:rPr>
          <w:szCs w:val="24"/>
          <w:lang w:eastAsia="zh-CN"/>
        </w:rPr>
        <w:t>9</w:t>
      </w:r>
      <w:r>
        <w:rPr>
          <w:szCs w:val="24"/>
          <w:lang w:eastAsia="zh-CN"/>
        </w:rPr>
        <w:t xml:space="preserve"> m. </w:t>
      </w:r>
    </w:p>
    <w:p w:rsidR="00D45718" w:rsidRDefault="00D45718">
      <w:pPr>
        <w:suppressAutoHyphens/>
        <w:ind w:firstLine="62"/>
        <w:jc w:val="both"/>
        <w:rPr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2127"/>
      </w:tblGrid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Lėšų   panaudojimo paskirtis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Valstybės biudžeto lėšų suma eurais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Savivaldybės biudžeto lėšų suma eurais</w:t>
            </w:r>
          </w:p>
        </w:tc>
      </w:tr>
      <w:tr w:rsidR="004E1541" w:rsidTr="009748BD">
        <w:trPr>
          <w:trHeight w:val="4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Iš viso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270818,37</w:t>
            </w:r>
            <w:r w:rsidR="009F3A96"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1107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Darbo užmokestis ir socialinis draudimas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 w:rsidP="00F470D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248903,32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Darbo  užmokestis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 w:rsidP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244907,38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Socialinio draudimo įmoka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 w:rsidP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3995,94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Prekių ir paslaugų naudojimas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 w:rsidP="009F3A9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17229,25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F037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5895,68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Ryšiai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316,33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Transporto išlaikymas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F470D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4926,01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A528E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Kitos prekės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713" w:rsidRDefault="00496B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3184,43</w:t>
            </w:r>
          </w:p>
          <w:p w:rsidR="004E1541" w:rsidRDefault="009F3A9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F037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1541" w:rsidTr="009748BD">
        <w:trPr>
          <w:trHeight w:val="2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Apranga (ugniagesių apsauginiai kostiumai, batai)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96B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2767,64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F037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Komunalinės išlaidos  (elektra, šildymas, vanduo)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96B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3159,81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Kitos paslaugos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96BD2" w:rsidP="004F037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="00490B9F">
              <w:rPr>
                <w:sz w:val="22"/>
                <w:szCs w:val="22"/>
                <w:lang w:eastAsia="zh-CN"/>
              </w:rPr>
              <w:t xml:space="preserve"> </w:t>
            </w:r>
            <w:r w:rsidR="004F0379">
              <w:rPr>
                <w:sz w:val="22"/>
                <w:szCs w:val="22"/>
                <w:lang w:eastAsia="zh-CN"/>
              </w:rPr>
              <w:t>234,00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Medikamentai</w:t>
            </w:r>
          </w:p>
          <w:p w:rsidR="004E1541" w:rsidRDefault="00B3645A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(darbuotojų sveikatos tikrinimas)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96B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136,92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E1541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90B9F" w:rsidP="0041107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Materialinioturto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paprasto turto remonto prekių ir paslaugų.</w:t>
            </w:r>
            <w:r w:rsidR="00B3645A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541" w:rsidRDefault="00490B9F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2504,11 </w:t>
            </w:r>
            <w:r w:rsidR="00411071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41" w:rsidRDefault="004E154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490B9F" w:rsidRDefault="00490B9F" w:rsidP="00E15BE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490B9F">
              <w:rPr>
                <w:b/>
                <w:sz w:val="22"/>
                <w:szCs w:val="22"/>
                <w:lang w:eastAsia="zh-CN"/>
              </w:rPr>
              <w:t>Socialinė parama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490B9F" w:rsidRDefault="00490B9F" w:rsidP="00E15BE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90B9F">
              <w:rPr>
                <w:b/>
                <w:sz w:val="22"/>
                <w:szCs w:val="22"/>
                <w:lang w:eastAsia="zh-CN"/>
              </w:rPr>
              <w:t>4685,80</w:t>
            </w:r>
            <w:r w:rsidR="00496BD2" w:rsidRPr="00490B9F"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Default="00AF6A79" w:rsidP="00E15BE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F6A79" w:rsidRDefault="00AF6A7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AF6A79">
              <w:rPr>
                <w:b/>
                <w:sz w:val="22"/>
                <w:szCs w:val="22"/>
                <w:lang w:eastAsia="zh-CN"/>
              </w:rPr>
              <w:t>Materialiojo ir nematerialiojo turto įsigijimo išlaidos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F6A79" w:rsidRDefault="00F470D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9681,63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Pr="00AF6A79" w:rsidRDefault="004F037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Transporto priemonės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F470D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3998,88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Default="00496BD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Kitas ilgalaikis materialusis turtas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Default="00F470D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5682,75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Default="00AF6A7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F6A79" w:rsidTr="009748BD">
        <w:trPr>
          <w:trHeight w:val="2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528E3" w:rsidRDefault="00A528E3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A528E3">
              <w:rPr>
                <w:b/>
                <w:sz w:val="22"/>
                <w:szCs w:val="22"/>
                <w:lang w:eastAsia="zh-CN"/>
              </w:rPr>
              <w:t>IŠ VISO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79" w:rsidRPr="00A528E3" w:rsidRDefault="00F470D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280500,00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79" w:rsidRPr="00A528E3" w:rsidRDefault="004F037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5895,68</w:t>
            </w:r>
          </w:p>
        </w:tc>
      </w:tr>
    </w:tbl>
    <w:p w:rsidR="004E1541" w:rsidRDefault="004E1541">
      <w:pPr>
        <w:suppressAutoHyphens/>
        <w:jc w:val="both"/>
        <w:rPr>
          <w:szCs w:val="24"/>
          <w:lang w:eastAsia="zh-CN"/>
        </w:rPr>
      </w:pPr>
    </w:p>
    <w:p w:rsidR="00B17DC4" w:rsidRDefault="00B17DC4">
      <w:pPr>
        <w:suppressAutoHyphens/>
        <w:jc w:val="both"/>
        <w:rPr>
          <w:szCs w:val="24"/>
          <w:lang w:eastAsia="zh-CN"/>
        </w:rPr>
      </w:pPr>
    </w:p>
    <w:p w:rsidR="00B17DC4" w:rsidRDefault="00B17DC4" w:rsidP="00325A06">
      <w:pPr>
        <w:tabs>
          <w:tab w:val="left" w:pos="1134"/>
        </w:tabs>
        <w:suppressAutoHyphens/>
        <w:jc w:val="both"/>
        <w:rPr>
          <w:szCs w:val="24"/>
          <w:lang w:eastAsia="zh-CN"/>
        </w:rPr>
      </w:pPr>
    </w:p>
    <w:p w:rsidR="00B17DC4" w:rsidRDefault="00B17DC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B17DC4" w:rsidRDefault="00B17DC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FE4B69" w:rsidRDefault="00FE4B69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FE4B69" w:rsidRDefault="00FE4B69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942645" w:rsidRDefault="003B6907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  <w:r w:rsidRPr="003B6907">
        <w:rPr>
          <w:b/>
          <w:szCs w:val="24"/>
          <w:lang w:eastAsia="zh-CN"/>
        </w:rPr>
        <w:t xml:space="preserve">                      </w:t>
      </w:r>
    </w:p>
    <w:p w:rsidR="00942645" w:rsidRDefault="00942645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</w:p>
    <w:p w:rsidR="00942645" w:rsidRDefault="00942645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</w:p>
    <w:p w:rsidR="00942645" w:rsidRDefault="00942645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</w:p>
    <w:p w:rsidR="00325A06" w:rsidRPr="003B6907" w:rsidRDefault="003B6907">
      <w:pPr>
        <w:tabs>
          <w:tab w:val="left" w:pos="1134"/>
        </w:tabs>
        <w:suppressAutoHyphens/>
        <w:ind w:firstLine="1134"/>
        <w:jc w:val="both"/>
        <w:rPr>
          <w:b/>
          <w:szCs w:val="24"/>
          <w:lang w:eastAsia="zh-CN"/>
        </w:rPr>
      </w:pPr>
      <w:r w:rsidRPr="003B6907">
        <w:rPr>
          <w:b/>
          <w:szCs w:val="24"/>
          <w:lang w:eastAsia="zh-CN"/>
        </w:rPr>
        <w:t xml:space="preserve">                                   201</w:t>
      </w:r>
      <w:r w:rsidR="004666E3">
        <w:rPr>
          <w:b/>
          <w:szCs w:val="24"/>
          <w:lang w:eastAsia="zh-CN"/>
        </w:rPr>
        <w:t>8</w:t>
      </w:r>
      <w:r w:rsidRPr="003B6907">
        <w:rPr>
          <w:b/>
          <w:szCs w:val="24"/>
          <w:lang w:eastAsia="zh-CN"/>
        </w:rPr>
        <w:t xml:space="preserve"> m. biudžeto išlaidos</w:t>
      </w:r>
    </w:p>
    <w:p w:rsidR="00325A06" w:rsidRDefault="0046057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noProof/>
          <w:szCs w:val="24"/>
          <w:lang w:eastAsia="lt-LT"/>
        </w:rPr>
        <w:drawing>
          <wp:inline distT="0" distB="0" distL="0" distR="0">
            <wp:extent cx="5486400" cy="3200400"/>
            <wp:effectExtent l="1905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25A06" w:rsidRDefault="00325A06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164C5D" w:rsidRDefault="00DC53D6" w:rsidP="00172834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Tarnyba už 4140 eurų įsigijo tris plaukiojančias vandens pompas NIAGARA 2 Adutiškio, Prienų ir </w:t>
      </w:r>
      <w:proofErr w:type="spellStart"/>
      <w:r>
        <w:rPr>
          <w:szCs w:val="24"/>
          <w:lang w:eastAsia="zh-CN"/>
        </w:rPr>
        <w:t>Sarių</w:t>
      </w:r>
      <w:proofErr w:type="spellEnd"/>
      <w:r>
        <w:rPr>
          <w:szCs w:val="24"/>
          <w:lang w:eastAsia="zh-CN"/>
        </w:rPr>
        <w:t xml:space="preserve"> komandoms,</w:t>
      </w:r>
      <w:r w:rsidR="00325A06">
        <w:rPr>
          <w:szCs w:val="24"/>
          <w:lang w:eastAsia="zh-CN"/>
        </w:rPr>
        <w:t xml:space="preserve">   pagal gaisrų prevencijos 201</w:t>
      </w:r>
      <w:r w:rsidR="005051F2">
        <w:rPr>
          <w:szCs w:val="24"/>
          <w:lang w:eastAsia="zh-CN"/>
        </w:rPr>
        <w:t>9</w:t>
      </w:r>
      <w:r w:rsidR="00325A06">
        <w:rPr>
          <w:szCs w:val="24"/>
          <w:lang w:eastAsia="zh-CN"/>
        </w:rPr>
        <w:t>-20</w:t>
      </w:r>
      <w:r w:rsidR="005051F2">
        <w:rPr>
          <w:szCs w:val="24"/>
          <w:lang w:eastAsia="zh-CN"/>
        </w:rPr>
        <w:t>20</w:t>
      </w:r>
      <w:r w:rsidR="00325A06">
        <w:rPr>
          <w:szCs w:val="24"/>
          <w:lang w:eastAsia="zh-CN"/>
        </w:rPr>
        <w:t xml:space="preserve"> m.   programą,  201</w:t>
      </w:r>
      <w:r w:rsidR="005051F2">
        <w:rPr>
          <w:szCs w:val="24"/>
          <w:lang w:eastAsia="zh-CN"/>
        </w:rPr>
        <w:t>9</w:t>
      </w:r>
      <w:r w:rsidR="00325A06">
        <w:rPr>
          <w:szCs w:val="24"/>
          <w:lang w:eastAsia="zh-CN"/>
        </w:rPr>
        <w:t xml:space="preserve"> metais </w:t>
      </w:r>
      <w:r w:rsidR="00172834">
        <w:rPr>
          <w:szCs w:val="24"/>
          <w:lang w:eastAsia="zh-CN"/>
        </w:rPr>
        <w:t xml:space="preserve">už </w:t>
      </w:r>
      <w:r>
        <w:rPr>
          <w:szCs w:val="24"/>
          <w:lang w:eastAsia="zh-CN"/>
        </w:rPr>
        <w:t>5000</w:t>
      </w:r>
      <w:r w:rsidR="007E416B">
        <w:rPr>
          <w:szCs w:val="24"/>
          <w:lang w:eastAsia="zh-CN"/>
        </w:rPr>
        <w:t xml:space="preserve"> eurų savivaldybės biudžeto lėšų</w:t>
      </w:r>
      <w:r>
        <w:rPr>
          <w:szCs w:val="24"/>
          <w:lang w:eastAsia="zh-CN"/>
        </w:rPr>
        <w:t xml:space="preserve"> </w:t>
      </w:r>
      <w:r w:rsidR="00172834">
        <w:rPr>
          <w:szCs w:val="24"/>
          <w:lang w:eastAsia="zh-CN"/>
        </w:rPr>
        <w:t xml:space="preserve"> </w:t>
      </w:r>
      <w:r w:rsidR="007E416B">
        <w:rPr>
          <w:szCs w:val="24"/>
          <w:lang w:eastAsia="zh-CN"/>
        </w:rPr>
        <w:t xml:space="preserve"> įsigijo</w:t>
      </w:r>
      <w:r w:rsidR="00D45718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kvėpavimo organų apsaugos aparatus DRAGER PSS 3000 </w:t>
      </w:r>
      <w:proofErr w:type="spellStart"/>
      <w:r>
        <w:rPr>
          <w:szCs w:val="24"/>
          <w:lang w:eastAsia="zh-CN"/>
        </w:rPr>
        <w:t>Sarių</w:t>
      </w:r>
      <w:proofErr w:type="spellEnd"/>
      <w:r w:rsidR="0039363B">
        <w:rPr>
          <w:szCs w:val="24"/>
          <w:lang w:eastAsia="zh-CN"/>
        </w:rPr>
        <w:t xml:space="preserve"> ugniagesių komandai</w:t>
      </w:r>
      <w:r w:rsidR="00172834">
        <w:rPr>
          <w:szCs w:val="24"/>
          <w:lang w:eastAsia="zh-CN"/>
        </w:rPr>
        <w:t xml:space="preserve"> ir už 800 eurų</w:t>
      </w:r>
      <w:r w:rsidR="00172834" w:rsidRPr="00172834">
        <w:rPr>
          <w:szCs w:val="24"/>
          <w:lang w:eastAsia="zh-CN"/>
        </w:rPr>
        <w:t xml:space="preserve"> </w:t>
      </w:r>
      <w:r w:rsidR="00172834">
        <w:rPr>
          <w:szCs w:val="24"/>
          <w:lang w:eastAsia="zh-CN"/>
        </w:rPr>
        <w:t xml:space="preserve">savivaldybės biudžeto lėšų buvo įsigyta 270 vnt. dūmų detektorių kurie su Švenčionių PGT,  vykdant akciją, buvo </w:t>
      </w:r>
      <w:proofErr w:type="spellStart"/>
      <w:r w:rsidR="00172834">
        <w:rPr>
          <w:szCs w:val="24"/>
          <w:lang w:eastAsia="zh-CN"/>
        </w:rPr>
        <w:t>įrengemi</w:t>
      </w:r>
      <w:proofErr w:type="spellEnd"/>
      <w:r w:rsidR="00172834">
        <w:rPr>
          <w:szCs w:val="24"/>
          <w:lang w:eastAsia="zh-CN"/>
        </w:rPr>
        <w:t xml:space="preserve"> rajono gyventojams. </w:t>
      </w:r>
      <w:r w:rsidR="00942645">
        <w:rPr>
          <w:szCs w:val="24"/>
          <w:lang w:eastAsia="zh-CN"/>
        </w:rPr>
        <w:t xml:space="preserve">                   </w:t>
      </w:r>
      <w:r w:rsidR="00C73919">
        <w:rPr>
          <w:szCs w:val="24"/>
          <w:lang w:eastAsia="zh-CN"/>
        </w:rPr>
        <w:t xml:space="preserve"> </w:t>
      </w:r>
    </w:p>
    <w:p w:rsidR="00164C5D" w:rsidRPr="00273EB3" w:rsidRDefault="00273EB3" w:rsidP="00273EB3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 </w:t>
      </w:r>
      <w:r w:rsidR="00B3645A">
        <w:rPr>
          <w:szCs w:val="24"/>
          <w:lang w:eastAsia="zh-CN"/>
        </w:rPr>
        <w:t xml:space="preserve"> </w:t>
      </w:r>
      <w:proofErr w:type="spellStart"/>
      <w:r w:rsidR="0039363B">
        <w:rPr>
          <w:szCs w:val="24"/>
          <w:lang w:eastAsia="zh-CN"/>
        </w:rPr>
        <w:t>Sarių</w:t>
      </w:r>
      <w:proofErr w:type="spellEnd"/>
      <w:r w:rsidR="00B3645A">
        <w:rPr>
          <w:szCs w:val="24"/>
          <w:lang w:eastAsia="zh-CN"/>
        </w:rPr>
        <w:t xml:space="preserve"> </w:t>
      </w:r>
      <w:r w:rsidR="00E22C42">
        <w:rPr>
          <w:szCs w:val="24"/>
          <w:lang w:eastAsia="zh-CN"/>
        </w:rPr>
        <w:t xml:space="preserve">ir Adutiškio </w:t>
      </w:r>
      <w:r w:rsidR="00B3645A">
        <w:rPr>
          <w:szCs w:val="24"/>
          <w:lang w:eastAsia="zh-CN"/>
        </w:rPr>
        <w:t xml:space="preserve">ugniagesių komandos </w:t>
      </w:r>
      <w:r w:rsidR="00E22C42">
        <w:rPr>
          <w:szCs w:val="24"/>
          <w:lang w:eastAsia="zh-CN"/>
        </w:rPr>
        <w:t xml:space="preserve">garažuose pakeisti įvažiavimo vartai </w:t>
      </w:r>
      <w:r w:rsidR="00573C82">
        <w:rPr>
          <w:szCs w:val="24"/>
          <w:lang w:eastAsia="zh-CN"/>
        </w:rPr>
        <w:t>.</w:t>
      </w:r>
      <w:r>
        <w:rPr>
          <w:szCs w:val="24"/>
          <w:lang w:eastAsia="zh-CN"/>
        </w:rPr>
        <w:t xml:space="preserve"> </w:t>
      </w:r>
      <w:r w:rsidR="00B3645A">
        <w:rPr>
          <w:szCs w:val="24"/>
          <w:lang w:eastAsia="zh-CN"/>
        </w:rPr>
        <w:t xml:space="preserve"> </w:t>
      </w:r>
      <w:r w:rsidR="0039363B">
        <w:rPr>
          <w:szCs w:val="24"/>
          <w:lang w:eastAsia="zh-CN"/>
        </w:rPr>
        <w:t>Adutiškio</w:t>
      </w:r>
      <w:r w:rsidR="00DC53D6">
        <w:rPr>
          <w:szCs w:val="24"/>
          <w:lang w:eastAsia="zh-CN"/>
        </w:rPr>
        <w:t xml:space="preserve">, </w:t>
      </w:r>
      <w:proofErr w:type="spellStart"/>
      <w:r w:rsidR="00DC53D6">
        <w:rPr>
          <w:szCs w:val="24"/>
          <w:lang w:eastAsia="zh-CN"/>
        </w:rPr>
        <w:t>Sarių</w:t>
      </w:r>
      <w:proofErr w:type="spellEnd"/>
      <w:r w:rsidR="00DC53D6">
        <w:rPr>
          <w:szCs w:val="24"/>
          <w:lang w:eastAsia="zh-CN"/>
        </w:rPr>
        <w:t xml:space="preserve"> ir Prienų</w:t>
      </w:r>
      <w:r w:rsidR="0039363B">
        <w:rPr>
          <w:szCs w:val="24"/>
          <w:lang w:eastAsia="zh-CN"/>
        </w:rPr>
        <w:t xml:space="preserve">  </w:t>
      </w:r>
      <w:r w:rsidR="00B3645A">
        <w:rPr>
          <w:szCs w:val="24"/>
          <w:lang w:eastAsia="zh-CN"/>
        </w:rPr>
        <w:t xml:space="preserve"> ugniagesių komandos </w:t>
      </w:r>
      <w:r w:rsidR="00DC53D6">
        <w:rPr>
          <w:szCs w:val="24"/>
          <w:lang w:eastAsia="zh-CN"/>
        </w:rPr>
        <w:t>patalpose buvo atlikti remonto darbai.</w:t>
      </w:r>
      <w:r w:rsidR="00B3645A">
        <w:rPr>
          <w:szCs w:val="24"/>
          <w:lang w:eastAsia="zh-CN"/>
        </w:rPr>
        <w:t xml:space="preserve"> </w:t>
      </w:r>
      <w:r w:rsidR="00573C82">
        <w:rPr>
          <w:szCs w:val="24"/>
          <w:lang w:eastAsia="zh-CN"/>
        </w:rPr>
        <w:t xml:space="preserve"> </w:t>
      </w:r>
    </w:p>
    <w:p w:rsidR="00273EB3" w:rsidRDefault="00273EB3">
      <w:pPr>
        <w:suppressAutoHyphens/>
        <w:jc w:val="center"/>
        <w:rPr>
          <w:b/>
          <w:szCs w:val="24"/>
          <w:lang w:eastAsia="zh-CN"/>
        </w:rPr>
      </w:pPr>
    </w:p>
    <w:p w:rsidR="004E1541" w:rsidRDefault="00B3645A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IV. TARNYBOS VEIKLA</w:t>
      </w:r>
    </w:p>
    <w:p w:rsidR="00986B11" w:rsidRDefault="00986B11">
      <w:pPr>
        <w:suppressAutoHyphens/>
        <w:jc w:val="center"/>
        <w:rPr>
          <w:b/>
          <w:szCs w:val="24"/>
          <w:lang w:eastAsia="zh-CN"/>
        </w:rPr>
      </w:pPr>
    </w:p>
    <w:p w:rsidR="00942645" w:rsidRDefault="003E1A6A" w:rsidP="003E1A6A">
      <w:pPr>
        <w:jc w:val="both"/>
      </w:pPr>
      <w:r>
        <w:t xml:space="preserve">                  Per  201</w:t>
      </w:r>
      <w:r w:rsidR="00172834">
        <w:t>9</w:t>
      </w:r>
      <w:r>
        <w:t xml:space="preserve"> metus užregistruoti </w:t>
      </w:r>
      <w:r w:rsidR="00172834">
        <w:t>8</w:t>
      </w:r>
      <w:r w:rsidR="00DD1976">
        <w:t>4</w:t>
      </w:r>
      <w:r>
        <w:t xml:space="preserve"> išvykim</w:t>
      </w:r>
      <w:r w:rsidR="004666E3">
        <w:t>ai</w:t>
      </w:r>
      <w:r>
        <w:t xml:space="preserve"> pagal pavojaus signalus: </w:t>
      </w:r>
      <w:r w:rsidR="00DD1976">
        <w:t>56</w:t>
      </w:r>
      <w:r>
        <w:t xml:space="preserve">  </w:t>
      </w:r>
      <w:r w:rsidRPr="00DD1976">
        <w:t>išvykim</w:t>
      </w:r>
      <w:r w:rsidR="004666E3" w:rsidRPr="00DD1976">
        <w:t>a</w:t>
      </w:r>
      <w:r w:rsidR="00DD1976">
        <w:t>i</w:t>
      </w:r>
      <w:r>
        <w:t xml:space="preserve"> į gaisrus, </w:t>
      </w:r>
      <w:r w:rsidR="00986B11">
        <w:t>1</w:t>
      </w:r>
      <w:r w:rsidR="00DD1976">
        <w:t>0</w:t>
      </w:r>
      <w:r>
        <w:t xml:space="preserve"> į kitus gelbėjimo darbus, </w:t>
      </w:r>
      <w:r w:rsidR="00DD1976">
        <w:t>3</w:t>
      </w:r>
      <w:r>
        <w:t xml:space="preserve"> pratybos, mokymai, </w:t>
      </w:r>
      <w:r w:rsidR="00986B11">
        <w:t>1</w:t>
      </w:r>
      <w:r w:rsidR="00DD1976">
        <w:t>5</w:t>
      </w:r>
      <w:r>
        <w:t xml:space="preserve"> kiti išvykimai. (  Per  201</w:t>
      </w:r>
      <w:r w:rsidR="00DD1976">
        <w:t>8</w:t>
      </w:r>
      <w:r>
        <w:t xml:space="preserve"> metus užregistruoti </w:t>
      </w:r>
      <w:r w:rsidR="00DD1976">
        <w:t>85</w:t>
      </w:r>
      <w:r>
        <w:t xml:space="preserve">   išvykimai pagal pavojaus signalus: </w:t>
      </w:r>
      <w:r w:rsidR="00DD1976">
        <w:t>51</w:t>
      </w:r>
      <w:r>
        <w:t xml:space="preserve"> išvykim</w:t>
      </w:r>
      <w:r w:rsidR="00DD1976">
        <w:t>as</w:t>
      </w:r>
      <w:r>
        <w:t xml:space="preserve"> į gaisrus , </w:t>
      </w:r>
      <w:r w:rsidR="00433705">
        <w:t>11</w:t>
      </w:r>
      <w:r>
        <w:t xml:space="preserve"> į kitus gelbėjimo darbus, </w:t>
      </w:r>
      <w:r w:rsidR="00DD1976">
        <w:t>5</w:t>
      </w:r>
      <w:r>
        <w:t xml:space="preserve"> pratybos, mokymai, </w:t>
      </w:r>
      <w:r w:rsidR="00433705">
        <w:t>1</w:t>
      </w:r>
      <w:r w:rsidR="00DD1976">
        <w:t>8</w:t>
      </w:r>
      <w:r w:rsidR="00761408">
        <w:t xml:space="preserve"> </w:t>
      </w:r>
      <w:r>
        <w:t xml:space="preserve"> kiti išvykimai.).   </w:t>
      </w:r>
      <w:r w:rsidR="00942645">
        <w:t xml:space="preserve">    </w:t>
      </w:r>
      <w:r>
        <w:t xml:space="preserve">  </w:t>
      </w:r>
    </w:p>
    <w:p w:rsidR="00325A06" w:rsidRDefault="00942645" w:rsidP="003E1A6A">
      <w:pPr>
        <w:jc w:val="both"/>
      </w:pPr>
      <w:r>
        <w:t xml:space="preserve">             </w:t>
      </w:r>
      <w:r w:rsidR="003E1A6A">
        <w:t xml:space="preserve"> Adutiškio UK </w:t>
      </w:r>
      <w:r w:rsidR="00DD1976">
        <w:t>30</w:t>
      </w:r>
      <w:r w:rsidR="003E1A6A">
        <w:t xml:space="preserve">  išvykim</w:t>
      </w:r>
      <w:r w:rsidR="003820C0">
        <w:t>ų</w:t>
      </w:r>
      <w:r w:rsidR="003E1A6A">
        <w:t xml:space="preserve">; </w:t>
      </w:r>
      <w:r w:rsidR="00DD1976">
        <w:t>22</w:t>
      </w:r>
      <w:r w:rsidR="00761408">
        <w:t xml:space="preserve"> </w:t>
      </w:r>
      <w:r w:rsidR="003E1A6A">
        <w:t>išvykim</w:t>
      </w:r>
      <w:r w:rsidR="003820C0">
        <w:t>ai</w:t>
      </w:r>
      <w:r w:rsidR="003E1A6A">
        <w:t xml:space="preserve"> į gaisrus,  </w:t>
      </w:r>
      <w:r w:rsidR="00DD1976">
        <w:t>2</w:t>
      </w:r>
      <w:r w:rsidR="003E1A6A">
        <w:t xml:space="preserve"> į kitus gelbėjimo darbus,</w:t>
      </w:r>
      <w:r w:rsidR="00761408" w:rsidRPr="00761408">
        <w:t xml:space="preserve"> </w:t>
      </w:r>
      <w:r w:rsidR="003820C0">
        <w:t>1</w:t>
      </w:r>
      <w:r w:rsidR="00761408">
        <w:t xml:space="preserve"> pratybos, mokymai,</w:t>
      </w:r>
      <w:r w:rsidR="003E1A6A">
        <w:t xml:space="preserve">  </w:t>
      </w:r>
      <w:r w:rsidR="00DD1976">
        <w:t>5</w:t>
      </w:r>
      <w:r w:rsidR="003E1A6A">
        <w:t xml:space="preserve"> kiti išvykimai. ( per 201</w:t>
      </w:r>
      <w:r w:rsidR="00DD1976">
        <w:t>8</w:t>
      </w:r>
      <w:r w:rsidR="003E1A6A">
        <w:t xml:space="preserve"> m </w:t>
      </w:r>
      <w:r w:rsidR="00DD1976">
        <w:t>15</w:t>
      </w:r>
      <w:r w:rsidR="00761408">
        <w:t xml:space="preserve">  išvykim</w:t>
      </w:r>
      <w:r w:rsidR="00DD1976">
        <w:t>ų</w:t>
      </w:r>
      <w:r w:rsidR="00761408">
        <w:t xml:space="preserve">; </w:t>
      </w:r>
      <w:r w:rsidR="00DD1976">
        <w:t>8</w:t>
      </w:r>
      <w:r w:rsidR="00761408">
        <w:t xml:space="preserve"> išvykim</w:t>
      </w:r>
      <w:r w:rsidR="00DD1976">
        <w:t>ai</w:t>
      </w:r>
      <w:r w:rsidR="00761408">
        <w:t xml:space="preserve"> į gaisrus,  </w:t>
      </w:r>
      <w:r w:rsidR="00DD1976">
        <w:t>4</w:t>
      </w:r>
      <w:r w:rsidR="00761408">
        <w:t xml:space="preserve"> į kitus gelbėjimo darbus,  </w:t>
      </w:r>
      <w:r w:rsidR="00DD1976">
        <w:t>1 pratybos mokymai, 2</w:t>
      </w:r>
      <w:r w:rsidR="00761408">
        <w:t xml:space="preserve"> kiti išvykimai).</w:t>
      </w:r>
    </w:p>
    <w:p w:rsidR="00172834" w:rsidRDefault="003E1A6A" w:rsidP="003E1A6A">
      <w:pPr>
        <w:jc w:val="both"/>
      </w:pPr>
      <w:r>
        <w:t xml:space="preserve">                </w:t>
      </w:r>
      <w:proofErr w:type="spellStart"/>
      <w:r>
        <w:t>Sarių</w:t>
      </w:r>
      <w:proofErr w:type="spellEnd"/>
      <w:r>
        <w:t xml:space="preserve"> UK  </w:t>
      </w:r>
      <w:r w:rsidR="00DD1976">
        <w:t>24</w:t>
      </w:r>
      <w:r>
        <w:t xml:space="preserve"> išvykimai: </w:t>
      </w:r>
      <w:r w:rsidR="003820C0">
        <w:t>14</w:t>
      </w:r>
      <w:r>
        <w:t xml:space="preserve">  išvykim</w:t>
      </w:r>
      <w:r w:rsidR="003820C0">
        <w:t>ų</w:t>
      </w:r>
      <w:r>
        <w:t xml:space="preserve"> į gaisrus, </w:t>
      </w:r>
      <w:r w:rsidR="00DD1976">
        <w:t>5</w:t>
      </w:r>
      <w:r>
        <w:t xml:space="preserve"> į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gelb</w:t>
      </w:r>
      <w:proofErr w:type="spellEnd"/>
      <w:r>
        <w:t xml:space="preserve">ėjimo darbus ,  </w:t>
      </w:r>
      <w:r w:rsidR="00DD1976">
        <w:rPr>
          <w:lang w:val="en-US"/>
        </w:rPr>
        <w:t xml:space="preserve">1 </w:t>
      </w:r>
      <w:r>
        <w:t xml:space="preserve">pratybos mokymai, </w:t>
      </w:r>
      <w:r w:rsidR="00DD1976">
        <w:t>4</w:t>
      </w:r>
      <w:r>
        <w:t xml:space="preserve"> kiti išvykimai. (  Per  201</w:t>
      </w:r>
      <w:r w:rsidR="00DD1976">
        <w:t>8</w:t>
      </w:r>
      <w:r>
        <w:t xml:space="preserve"> metus užregistruoti  </w:t>
      </w:r>
      <w:r w:rsidR="00DD1976">
        <w:t>29</w:t>
      </w:r>
      <w:r w:rsidR="003820C0">
        <w:t xml:space="preserve">  išvykimai: </w:t>
      </w:r>
      <w:r w:rsidR="00DD1976">
        <w:t>14</w:t>
      </w:r>
      <w:r w:rsidR="003820C0">
        <w:t xml:space="preserve">  išvykim</w:t>
      </w:r>
      <w:r w:rsidR="00273EB3">
        <w:t>ų</w:t>
      </w:r>
      <w:r w:rsidR="003820C0">
        <w:t xml:space="preserve"> į gaisrus, 6 į</w:t>
      </w:r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kitus</w:t>
      </w:r>
      <w:proofErr w:type="spellEnd"/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gelb</w:t>
      </w:r>
      <w:proofErr w:type="spellEnd"/>
      <w:r w:rsidR="003820C0">
        <w:t xml:space="preserve">ėjimo darbus ,  </w:t>
      </w:r>
      <w:r w:rsidR="00273EB3">
        <w:rPr>
          <w:lang w:val="en-US"/>
        </w:rPr>
        <w:t xml:space="preserve">2 </w:t>
      </w:r>
      <w:r w:rsidR="003820C0">
        <w:t xml:space="preserve">pratybos mokymai, </w:t>
      </w:r>
      <w:r w:rsidR="00273EB3">
        <w:t>7</w:t>
      </w:r>
      <w:r w:rsidR="003820C0">
        <w:t xml:space="preserve"> kiti išvykimai.</w:t>
      </w:r>
      <w:r w:rsidR="003820C0" w:rsidRPr="003820C0">
        <w:t xml:space="preserve"> </w:t>
      </w:r>
      <w:r w:rsidR="003820C0">
        <w:t xml:space="preserve">   </w:t>
      </w:r>
      <w:r>
        <w:t>)</w:t>
      </w:r>
    </w:p>
    <w:p w:rsidR="003E1A6A" w:rsidRDefault="003E1A6A" w:rsidP="003E1A6A">
      <w:pPr>
        <w:jc w:val="both"/>
      </w:pPr>
      <w:r>
        <w:t xml:space="preserve">.                 </w:t>
      </w:r>
    </w:p>
    <w:p w:rsidR="00DD1976" w:rsidRDefault="003E1A6A" w:rsidP="003E1A6A">
      <w:pPr>
        <w:jc w:val="both"/>
      </w:pPr>
      <w:r>
        <w:t xml:space="preserve">             </w:t>
      </w:r>
    </w:p>
    <w:p w:rsidR="00DD1976" w:rsidRDefault="00DD1976" w:rsidP="003E1A6A">
      <w:pPr>
        <w:jc w:val="both"/>
      </w:pPr>
    </w:p>
    <w:p w:rsidR="00DD1976" w:rsidRDefault="00DD1976" w:rsidP="003E1A6A">
      <w:pPr>
        <w:jc w:val="both"/>
      </w:pPr>
    </w:p>
    <w:p w:rsidR="00DD1976" w:rsidRDefault="00DD1976" w:rsidP="003E1A6A">
      <w:pPr>
        <w:jc w:val="both"/>
      </w:pPr>
    </w:p>
    <w:p w:rsidR="009B0312" w:rsidRDefault="003E1A6A" w:rsidP="003E1A6A">
      <w:pPr>
        <w:jc w:val="both"/>
      </w:pPr>
      <w:r>
        <w:t xml:space="preserve">    </w:t>
      </w:r>
      <w:r w:rsidR="00DD1976">
        <w:t xml:space="preserve">     </w:t>
      </w:r>
      <w:r>
        <w:t xml:space="preserve"> Prienų UK </w:t>
      </w:r>
      <w:r w:rsidR="00273EB3">
        <w:t>30</w:t>
      </w:r>
      <w:r w:rsidR="00D26F50">
        <w:t xml:space="preserve"> </w:t>
      </w:r>
      <w:r>
        <w:t>išvykim</w:t>
      </w:r>
      <w:r w:rsidR="00273EB3">
        <w:t>ų</w:t>
      </w:r>
      <w:r>
        <w:t xml:space="preserve">: </w:t>
      </w:r>
      <w:r w:rsidR="00273EB3">
        <w:t>20</w:t>
      </w:r>
      <w:r>
        <w:t xml:space="preserve">  išvykim</w:t>
      </w:r>
      <w:r w:rsidR="00273EB3">
        <w:rPr>
          <w:b/>
        </w:rPr>
        <w:t>ų</w:t>
      </w:r>
      <w:r>
        <w:t xml:space="preserve"> į gaisrus,</w:t>
      </w:r>
      <w:r w:rsidR="00D26F50" w:rsidRPr="00D26F50">
        <w:t xml:space="preserve"> </w:t>
      </w:r>
      <w:r w:rsidR="00273EB3">
        <w:t>3</w:t>
      </w:r>
      <w:r w:rsidR="00D26F50">
        <w:t xml:space="preserve">  į</w:t>
      </w:r>
      <w:r w:rsidR="00D26F50">
        <w:rPr>
          <w:lang w:val="en-US"/>
        </w:rPr>
        <w:t xml:space="preserve"> </w:t>
      </w:r>
      <w:proofErr w:type="spellStart"/>
      <w:r w:rsidR="00D26F50">
        <w:rPr>
          <w:lang w:val="en-US"/>
        </w:rPr>
        <w:t>kitus</w:t>
      </w:r>
      <w:proofErr w:type="spellEnd"/>
      <w:r w:rsidR="00D26F50">
        <w:rPr>
          <w:lang w:val="en-US"/>
        </w:rPr>
        <w:t xml:space="preserve"> </w:t>
      </w:r>
      <w:proofErr w:type="spellStart"/>
      <w:r w:rsidR="00D26F50">
        <w:rPr>
          <w:lang w:val="en-US"/>
        </w:rPr>
        <w:t>gelb</w:t>
      </w:r>
      <w:proofErr w:type="spellEnd"/>
      <w:r w:rsidR="00D26F50">
        <w:t>ėjimo darbus</w:t>
      </w:r>
      <w:r>
        <w:t xml:space="preserve">  </w:t>
      </w:r>
      <w:r w:rsidR="00273EB3">
        <w:t>1</w:t>
      </w:r>
      <w:r>
        <w:t xml:space="preserve"> pratybos, mokymai, </w:t>
      </w:r>
      <w:r w:rsidR="00273EB3">
        <w:t>6</w:t>
      </w:r>
      <w:r>
        <w:t xml:space="preserve"> kiti išvykimai. (  Per  201</w:t>
      </w:r>
      <w:r w:rsidR="00273EB3">
        <w:t>8</w:t>
      </w:r>
      <w:r>
        <w:t xml:space="preserve"> metus užregistruoti  </w:t>
      </w:r>
      <w:r w:rsidR="00273EB3">
        <w:t>41</w:t>
      </w:r>
      <w:r w:rsidR="003820C0">
        <w:t xml:space="preserve"> išvykim</w:t>
      </w:r>
      <w:r w:rsidR="00273EB3">
        <w:t>as</w:t>
      </w:r>
      <w:r w:rsidR="003820C0">
        <w:t>: 2</w:t>
      </w:r>
      <w:r w:rsidR="00273EB3">
        <w:t>9</w:t>
      </w:r>
      <w:r w:rsidR="003820C0">
        <w:t xml:space="preserve">  išvykimai į gaisrus,</w:t>
      </w:r>
      <w:r w:rsidR="003820C0" w:rsidRPr="00D26F50">
        <w:t xml:space="preserve"> </w:t>
      </w:r>
      <w:r w:rsidR="00273EB3">
        <w:t>1</w:t>
      </w:r>
      <w:r w:rsidR="003820C0">
        <w:t xml:space="preserve">  į</w:t>
      </w:r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kitus</w:t>
      </w:r>
      <w:proofErr w:type="spellEnd"/>
      <w:r w:rsidR="003820C0">
        <w:rPr>
          <w:lang w:val="en-US"/>
        </w:rPr>
        <w:t xml:space="preserve"> </w:t>
      </w:r>
      <w:proofErr w:type="spellStart"/>
      <w:r w:rsidR="003820C0">
        <w:rPr>
          <w:lang w:val="en-US"/>
        </w:rPr>
        <w:t>gelb</w:t>
      </w:r>
      <w:proofErr w:type="spellEnd"/>
      <w:r w:rsidR="003820C0">
        <w:t>ėjimo darbus</w:t>
      </w:r>
      <w:r w:rsidR="00273EB3">
        <w:t>,</w:t>
      </w:r>
      <w:r w:rsidR="003820C0">
        <w:t xml:space="preserve">  </w:t>
      </w:r>
      <w:r w:rsidR="00273EB3">
        <w:t>2</w:t>
      </w:r>
      <w:r w:rsidR="003820C0">
        <w:t xml:space="preserve"> pratybos, mokymai, </w:t>
      </w:r>
      <w:r w:rsidR="00273EB3">
        <w:t>9</w:t>
      </w:r>
      <w:r w:rsidR="003820C0">
        <w:t xml:space="preserve">  kiti išvykimai.</w:t>
      </w:r>
      <w:r>
        <w:t xml:space="preserve">).  </w:t>
      </w:r>
    </w:p>
    <w:p w:rsidR="003E1A6A" w:rsidRDefault="00DD1976" w:rsidP="003E1A6A">
      <w:pPr>
        <w:jc w:val="both"/>
      </w:pPr>
      <w:r>
        <w:t xml:space="preserve">           </w:t>
      </w:r>
      <w:r w:rsidR="003E1A6A">
        <w:t>Palyginus su 20</w:t>
      </w:r>
      <w:r w:rsidR="003E1A6A">
        <w:rPr>
          <w:lang w:val="en-US"/>
        </w:rPr>
        <w:t>1</w:t>
      </w:r>
      <w:r>
        <w:rPr>
          <w:lang w:val="en-US"/>
        </w:rPr>
        <w:t>8</w:t>
      </w:r>
      <w:r w:rsidR="003E1A6A">
        <w:rPr>
          <w:lang w:val="en-US"/>
        </w:rPr>
        <w:t xml:space="preserve"> </w:t>
      </w:r>
      <w:r w:rsidR="003E1A6A">
        <w:t xml:space="preserve">metais, bendras išvykimų skaičius </w:t>
      </w:r>
      <w:r w:rsidR="003820C0">
        <w:t>sumažėjo</w:t>
      </w:r>
      <w:r w:rsidR="003E1A6A">
        <w:t xml:space="preserve"> </w:t>
      </w:r>
      <w:r>
        <w:t>1</w:t>
      </w:r>
      <w:r w:rsidR="003E1A6A">
        <w:t>proc. (</w:t>
      </w:r>
      <w:r w:rsidR="003820C0">
        <w:t xml:space="preserve"> </w:t>
      </w:r>
      <w:r>
        <w:t xml:space="preserve">2019 m. 84 išvykimai, </w:t>
      </w:r>
      <w:r w:rsidR="003820C0">
        <w:t xml:space="preserve">2018 m 85 išvykimai, </w:t>
      </w:r>
      <w:r w:rsidR="00986B11">
        <w:t xml:space="preserve">2017 m. 92 išvykimai, </w:t>
      </w:r>
      <w:r w:rsidR="003E1A6A">
        <w:t xml:space="preserve">2016 m. 82  išvykimai,  2015 m. 123 išvykimai, 2014 m. 123 išvykimai ). Išvykimų į gaisrus </w:t>
      </w:r>
      <w:r w:rsidR="003820C0">
        <w:t>sumažėjo 18</w:t>
      </w:r>
      <w:r w:rsidR="003E1A6A">
        <w:rPr>
          <w:lang w:val="en-US"/>
        </w:rPr>
        <w:t xml:space="preserve"> proc.</w:t>
      </w:r>
      <w:r w:rsidR="003E1A6A">
        <w:t xml:space="preserve"> (</w:t>
      </w:r>
      <w:r w:rsidR="004666E3">
        <w:t xml:space="preserve"> 2018 m. 51 išvykimas, </w:t>
      </w:r>
      <w:r w:rsidR="00986B11">
        <w:t xml:space="preserve">2017 m. 60 išvykimų, </w:t>
      </w:r>
      <w:r w:rsidR="003E1A6A">
        <w:t xml:space="preserve">2016 m. 33 išvykimai, </w:t>
      </w:r>
      <w:r w:rsidR="003E1A6A">
        <w:rPr>
          <w:lang w:val="en-US"/>
        </w:rPr>
        <w:t xml:space="preserve">2015 m. 73 </w:t>
      </w:r>
      <w:r w:rsidR="003E1A6A">
        <w:t>išvykimai</w:t>
      </w:r>
      <w:proofErr w:type="gramStart"/>
      <w:r w:rsidR="003E1A6A">
        <w:t xml:space="preserve">, </w:t>
      </w:r>
      <w:r w:rsidR="003D37E6">
        <w:t xml:space="preserve"> </w:t>
      </w:r>
      <w:r w:rsidR="003E1A6A">
        <w:rPr>
          <w:lang w:val="en-US"/>
        </w:rPr>
        <w:t>2014</w:t>
      </w:r>
      <w:proofErr w:type="gramEnd"/>
      <w:r w:rsidR="003E1A6A">
        <w:rPr>
          <w:lang w:val="en-US"/>
        </w:rPr>
        <w:t xml:space="preserve"> m. 62</w:t>
      </w:r>
      <w:r w:rsidR="003E1A6A">
        <w:t xml:space="preserve"> išvykimai</w:t>
      </w:r>
      <w:r w:rsidR="003E1A6A">
        <w:rPr>
          <w:lang w:val="en-US"/>
        </w:rPr>
        <w:t>).</w:t>
      </w:r>
      <w:r w:rsidR="003E1A6A">
        <w:t xml:space="preserve"> </w:t>
      </w:r>
    </w:p>
    <w:p w:rsidR="003E1A6A" w:rsidRDefault="003E1A6A">
      <w:pPr>
        <w:suppressAutoHyphens/>
        <w:jc w:val="center"/>
        <w:rPr>
          <w:b/>
          <w:szCs w:val="24"/>
          <w:lang w:eastAsia="zh-CN"/>
        </w:rPr>
      </w:pPr>
    </w:p>
    <w:p w:rsidR="003E1A6A" w:rsidRDefault="003E1A6A" w:rsidP="003E1A6A">
      <w:pPr>
        <w:jc w:val="both"/>
        <w:rPr>
          <w:b/>
          <w:bCs/>
        </w:rPr>
      </w:pPr>
      <w:r>
        <w:rPr>
          <w:b/>
          <w:bCs/>
        </w:rPr>
        <w:t xml:space="preserve">                             Priešgaisrinės apsaugos tarnybos ugniagesių komandų išvykimų </w:t>
      </w:r>
    </w:p>
    <w:p w:rsidR="003E1A6A" w:rsidRDefault="003E1A6A" w:rsidP="003E1A6A">
      <w:pPr>
        <w:jc w:val="both"/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  <w:lang w:val="en-US"/>
        </w:rPr>
        <w:t>201</w:t>
      </w:r>
      <w:r w:rsidR="004666E3">
        <w:rPr>
          <w:b/>
          <w:bCs/>
          <w:lang w:val="en-US"/>
        </w:rPr>
        <w:t>7</w:t>
      </w:r>
      <w:r>
        <w:rPr>
          <w:b/>
          <w:bCs/>
          <w:lang w:val="en-US"/>
        </w:rPr>
        <w:t>-201</w:t>
      </w:r>
      <w:r w:rsidR="004666E3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metais </w:t>
      </w:r>
      <w:proofErr w:type="spellStart"/>
      <w:r>
        <w:rPr>
          <w:b/>
          <w:bCs/>
          <w:lang w:val="en-US"/>
        </w:rPr>
        <w:t>analizė</w:t>
      </w:r>
      <w:proofErr w:type="spellEnd"/>
    </w:p>
    <w:p w:rsidR="003E1A6A" w:rsidRDefault="006F741A" w:rsidP="003E1A6A">
      <w:pPr>
        <w:jc w:val="both"/>
      </w:pPr>
      <w:r>
        <w:rPr>
          <w:szCs w:val="24"/>
          <w:lang w:eastAsia="zh-CN"/>
        </w:rPr>
        <w:t>3 lentelė.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09"/>
        <w:gridCol w:w="708"/>
        <w:gridCol w:w="743"/>
        <w:gridCol w:w="817"/>
        <w:gridCol w:w="850"/>
        <w:gridCol w:w="709"/>
        <w:gridCol w:w="709"/>
        <w:gridCol w:w="992"/>
        <w:gridCol w:w="709"/>
        <w:gridCol w:w="675"/>
      </w:tblGrid>
      <w:tr w:rsidR="003E1A6A" w:rsidTr="003D44E3">
        <w:trPr>
          <w:cantSplit/>
          <w:trHeight w:val="30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  <w:r>
              <w:t>Padalinys</w:t>
            </w:r>
          </w:p>
        </w:tc>
        <w:tc>
          <w:tcPr>
            <w:tcW w:w="76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  <w:r>
              <w:t xml:space="preserve">                            Išvykimų skaičius</w:t>
            </w:r>
          </w:p>
        </w:tc>
      </w:tr>
      <w:tr w:rsidR="003E1A6A" w:rsidTr="003D44E3">
        <w:trPr>
          <w:cantSplit/>
          <w:trHeight w:val="34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</w:p>
        </w:tc>
        <w:tc>
          <w:tcPr>
            <w:tcW w:w="38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E1A6A" w:rsidRDefault="003E1A6A" w:rsidP="00060642">
            <w:pPr>
              <w:tabs>
                <w:tab w:val="center" w:pos="1805"/>
              </w:tabs>
              <w:jc w:val="both"/>
            </w:pPr>
            <w:r>
              <w:t xml:space="preserve">            </w:t>
            </w:r>
            <w:r>
              <w:tab/>
              <w:t>201</w:t>
            </w:r>
            <w:r w:rsidR="00060642">
              <w:t>8</w:t>
            </w:r>
            <w:r w:rsidR="004666E3">
              <w:t xml:space="preserve"> </w:t>
            </w:r>
            <w:r>
              <w:t>m.</w:t>
            </w:r>
          </w:p>
        </w:tc>
        <w:tc>
          <w:tcPr>
            <w:tcW w:w="37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E1A6A" w:rsidRDefault="003E1A6A" w:rsidP="00060642">
            <w:pPr>
              <w:jc w:val="center"/>
            </w:pPr>
            <w:r>
              <w:t>201</w:t>
            </w:r>
            <w:r w:rsidR="00060642">
              <w:t>9</w:t>
            </w:r>
            <w:r w:rsidR="00986B11">
              <w:t xml:space="preserve"> </w:t>
            </w:r>
            <w:r>
              <w:t>m.</w:t>
            </w:r>
          </w:p>
        </w:tc>
      </w:tr>
      <w:tr w:rsidR="003E1A6A" w:rsidTr="00D45718">
        <w:trPr>
          <w:cantSplit/>
          <w:trHeight w:val="148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A6A" w:rsidRDefault="003E1A6A" w:rsidP="003D44E3">
            <w:pPr>
              <w:jc w:val="both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Bendras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Į gaisrus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Į kitus gelbėjimo darbus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Pratybos mokymai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Kiti išvykimai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Bendras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Į gaisrus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986B11">
            <w:pPr>
              <w:ind w:left="113" w:right="113"/>
              <w:jc w:val="both"/>
            </w:pPr>
            <w:r>
              <w:t>Į</w:t>
            </w:r>
            <w:r w:rsidR="00986B11">
              <w:t xml:space="preserve"> </w:t>
            </w:r>
            <w:r>
              <w:t>kitus gelbėjimo darbus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Pratybos mokymai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3E1A6A" w:rsidRDefault="003E1A6A" w:rsidP="003D44E3">
            <w:pPr>
              <w:ind w:left="113" w:right="113"/>
              <w:jc w:val="both"/>
            </w:pPr>
            <w:r>
              <w:t>Kiti išvykimai</w:t>
            </w:r>
          </w:p>
        </w:tc>
      </w:tr>
      <w:tr w:rsidR="007926ED" w:rsidTr="00D45718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6ED" w:rsidRDefault="007926ED" w:rsidP="003D44E3">
            <w:pPr>
              <w:jc w:val="both"/>
            </w:pPr>
            <w:r>
              <w:t>Adutiškio UK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7926ED" w:rsidRDefault="00317012" w:rsidP="00A05C27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926ED" w:rsidRDefault="00880DF2" w:rsidP="00011B0D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926ED" w:rsidRDefault="00880DF2" w:rsidP="00011B0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926ED" w:rsidRDefault="007926ED" w:rsidP="00011B0D">
            <w:pPr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7926ED" w:rsidRDefault="00880DF2" w:rsidP="00011B0D">
            <w:pPr>
              <w:jc w:val="center"/>
            </w:pPr>
            <w:r>
              <w:t>5</w:t>
            </w:r>
          </w:p>
        </w:tc>
      </w:tr>
      <w:tr w:rsidR="007926ED" w:rsidTr="00D45718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7926ED" w:rsidRDefault="007926ED" w:rsidP="003D44E3">
            <w:pPr>
              <w:jc w:val="both"/>
            </w:pPr>
            <w:proofErr w:type="spellStart"/>
            <w:r>
              <w:t>Sarių</w:t>
            </w:r>
            <w:proofErr w:type="spellEnd"/>
            <w:r>
              <w:t xml:space="preserve"> UK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7926ED" w:rsidRDefault="007926ED" w:rsidP="00D9466F">
            <w:pPr>
              <w:jc w:val="center"/>
            </w:pPr>
            <w:r>
              <w:t>14</w:t>
            </w:r>
          </w:p>
        </w:tc>
        <w:tc>
          <w:tcPr>
            <w:tcW w:w="743" w:type="dxa"/>
          </w:tcPr>
          <w:p w:rsidR="007926ED" w:rsidRDefault="007926ED" w:rsidP="00D9466F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7926ED" w:rsidRDefault="007926ED" w:rsidP="00D9466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26ED" w:rsidRDefault="00317012" w:rsidP="00317012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926ED" w:rsidRDefault="007926ED" w:rsidP="00011B0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926ED" w:rsidRDefault="00880DF2" w:rsidP="00011B0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926ED" w:rsidRDefault="00880DF2" w:rsidP="00011B0D">
            <w:pPr>
              <w:jc w:val="center"/>
            </w:pPr>
            <w:r>
              <w:t>1</w:t>
            </w:r>
          </w:p>
        </w:tc>
        <w:tc>
          <w:tcPr>
            <w:tcW w:w="675" w:type="dxa"/>
            <w:tcBorders>
              <w:right w:val="single" w:sz="12" w:space="0" w:color="auto"/>
            </w:tcBorders>
          </w:tcPr>
          <w:p w:rsidR="007926ED" w:rsidRDefault="00880DF2" w:rsidP="00011B0D">
            <w:pPr>
              <w:jc w:val="center"/>
            </w:pPr>
            <w:r>
              <w:t>4</w:t>
            </w:r>
          </w:p>
        </w:tc>
      </w:tr>
      <w:tr w:rsidR="007926ED" w:rsidTr="00D45718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ED" w:rsidRDefault="007926ED" w:rsidP="003D44E3">
            <w:pPr>
              <w:jc w:val="both"/>
            </w:pPr>
            <w:r>
              <w:t>Prienų UK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29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926ED" w:rsidRDefault="007926ED" w:rsidP="00D9466F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926ED" w:rsidRDefault="00060642" w:rsidP="00A05C27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926ED" w:rsidRDefault="00880DF2" w:rsidP="00060642">
            <w:pPr>
              <w:jc w:val="center"/>
            </w:pPr>
            <w:r>
              <w:t>2</w:t>
            </w:r>
            <w:r w:rsidR="00060642"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926ED" w:rsidRDefault="00880DF2" w:rsidP="00011B0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926ED" w:rsidRDefault="00060642" w:rsidP="00011B0D">
            <w:pPr>
              <w:jc w:val="center"/>
            </w:pPr>
            <w:r>
              <w:t>1</w:t>
            </w: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7926ED" w:rsidRDefault="00880DF2" w:rsidP="00011B0D">
            <w:pPr>
              <w:jc w:val="center"/>
            </w:pPr>
            <w:r>
              <w:t>6</w:t>
            </w:r>
          </w:p>
        </w:tc>
      </w:tr>
      <w:tr w:rsidR="007926ED" w:rsidTr="00D45718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ED" w:rsidRDefault="007926ED" w:rsidP="003D44E3">
            <w:pPr>
              <w:tabs>
                <w:tab w:val="right" w:pos="18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Viso:</w:t>
            </w:r>
            <w:r>
              <w:rPr>
                <w:b/>
                <w:bCs/>
              </w:rPr>
              <w:tab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6ED" w:rsidRDefault="007926ED" w:rsidP="00D94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926ED" w:rsidRDefault="007926ED" w:rsidP="00D94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</w:tcPr>
          <w:p w:rsidR="007926ED" w:rsidRDefault="007926ED" w:rsidP="00D94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7926ED" w:rsidRDefault="007926ED" w:rsidP="00D94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ED" w:rsidRDefault="007926ED" w:rsidP="00D94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6ED" w:rsidRDefault="00317012" w:rsidP="00060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60642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926ED" w:rsidRDefault="00880DF2" w:rsidP="00060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60642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926ED" w:rsidRDefault="00880DF2" w:rsidP="0088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926ED" w:rsidRDefault="00880DF2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ED" w:rsidRDefault="00060642" w:rsidP="00A05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33705" w:rsidTr="00D45718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</w:pPr>
            <w:r>
              <w:t>VPGT padalinių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</w:tcPr>
          <w:p w:rsidR="00433705" w:rsidRDefault="00433705" w:rsidP="00011B0D">
            <w:pPr>
              <w:jc w:val="center"/>
            </w:pPr>
          </w:p>
        </w:tc>
      </w:tr>
      <w:tr w:rsidR="00433705" w:rsidTr="00D45718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Viso išvykimų: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675" w:type="dxa"/>
            <w:tcBorders>
              <w:bottom w:val="single" w:sz="12" w:space="0" w:color="auto"/>
              <w:right w:val="single" w:sz="12" w:space="0" w:color="auto"/>
            </w:tcBorders>
          </w:tcPr>
          <w:p w:rsidR="00433705" w:rsidRDefault="00433705" w:rsidP="003D44E3">
            <w:pPr>
              <w:jc w:val="both"/>
              <w:rPr>
                <w:b/>
                <w:bCs/>
              </w:rPr>
            </w:pPr>
          </w:p>
        </w:tc>
      </w:tr>
    </w:tbl>
    <w:p w:rsidR="003E1A6A" w:rsidRDefault="003E1A6A" w:rsidP="003E1A6A">
      <w:pPr>
        <w:jc w:val="both"/>
      </w:pPr>
    </w:p>
    <w:p w:rsidR="003E1A6A" w:rsidRDefault="003E1A6A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9B0312" w:rsidRDefault="009B0312">
      <w:pPr>
        <w:suppressAutoHyphens/>
        <w:jc w:val="center"/>
        <w:rPr>
          <w:b/>
          <w:szCs w:val="24"/>
          <w:lang w:eastAsia="zh-CN"/>
        </w:rPr>
      </w:pPr>
    </w:p>
    <w:p w:rsidR="00811CDA" w:rsidRDefault="00811CDA" w:rsidP="00811CDA">
      <w:pPr>
        <w:jc w:val="both"/>
        <w:rPr>
          <w:b/>
          <w:bCs/>
        </w:rPr>
      </w:pPr>
      <w:r>
        <w:rPr>
          <w:b/>
          <w:bCs/>
        </w:rPr>
        <w:t xml:space="preserve">                              Priešgaisrinės apsaugos tarnybos ugniagesių komandų išvykimai </w:t>
      </w:r>
    </w:p>
    <w:p w:rsidR="00811CDA" w:rsidRDefault="00811CDA" w:rsidP="00811CDA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20</w:t>
      </w:r>
      <w:r w:rsidR="00B32F56">
        <w:rPr>
          <w:b/>
          <w:bCs/>
          <w:lang w:val="en-US"/>
        </w:rPr>
        <w:t>1</w:t>
      </w:r>
      <w:r w:rsidR="004666E3">
        <w:rPr>
          <w:b/>
          <w:bCs/>
          <w:lang w:val="en-US"/>
        </w:rPr>
        <w:t>4</w:t>
      </w:r>
      <w:r>
        <w:rPr>
          <w:b/>
          <w:bCs/>
          <w:lang w:val="en-US"/>
        </w:rPr>
        <w:t>-201</w:t>
      </w:r>
      <w:r w:rsidR="00060642">
        <w:rPr>
          <w:b/>
          <w:bCs/>
          <w:lang w:val="en-US"/>
        </w:rPr>
        <w:t>9</w:t>
      </w:r>
      <w:r w:rsidR="00B32F5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m.</w:t>
      </w:r>
    </w:p>
    <w:p w:rsidR="00811CDA" w:rsidRDefault="006F741A" w:rsidP="00811CDA">
      <w:pPr>
        <w:jc w:val="both"/>
        <w:rPr>
          <w:b/>
          <w:bCs/>
        </w:rPr>
      </w:pPr>
      <w:r>
        <w:rPr>
          <w:szCs w:val="24"/>
          <w:lang w:eastAsia="zh-CN"/>
        </w:rPr>
        <w:t>4 lentelė.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196"/>
        <w:gridCol w:w="1134"/>
        <w:gridCol w:w="1134"/>
        <w:gridCol w:w="1134"/>
        <w:gridCol w:w="1417"/>
        <w:gridCol w:w="1080"/>
      </w:tblGrid>
      <w:tr w:rsidR="007926ED" w:rsidTr="007926ED">
        <w:trPr>
          <w:cantSplit/>
          <w:trHeight w:val="849"/>
        </w:trPr>
        <w:tc>
          <w:tcPr>
            <w:tcW w:w="1923" w:type="dxa"/>
          </w:tcPr>
          <w:p w:rsidR="007926ED" w:rsidRDefault="007926ED" w:rsidP="003D44E3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:rsidR="007926ED" w:rsidRDefault="007926ED" w:rsidP="002967D8">
            <w:pPr>
              <w:rPr>
                <w:b/>
                <w:bCs/>
              </w:rPr>
            </w:pPr>
            <w:r>
              <w:rPr>
                <w:b/>
                <w:bCs/>
              </w:rPr>
              <w:t>2014m.</w:t>
            </w:r>
          </w:p>
        </w:tc>
        <w:tc>
          <w:tcPr>
            <w:tcW w:w="1134" w:type="dxa"/>
          </w:tcPr>
          <w:p w:rsidR="007926ED" w:rsidRDefault="007926ED" w:rsidP="002967D8">
            <w:pPr>
              <w:rPr>
                <w:b/>
                <w:bCs/>
              </w:rPr>
            </w:pPr>
            <w:r>
              <w:rPr>
                <w:b/>
                <w:bCs/>
              </w:rPr>
              <w:t>2015m.</w:t>
            </w:r>
          </w:p>
          <w:p w:rsidR="007926ED" w:rsidRDefault="007926ED" w:rsidP="002967D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926ED" w:rsidRDefault="007926ED" w:rsidP="002967D8">
            <w:pPr>
              <w:rPr>
                <w:b/>
                <w:bCs/>
              </w:rPr>
            </w:pPr>
            <w:r>
              <w:rPr>
                <w:b/>
                <w:bCs/>
              </w:rPr>
              <w:t>2016m.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2017m.</w:t>
            </w:r>
          </w:p>
          <w:p w:rsidR="007926ED" w:rsidRDefault="007926ED" w:rsidP="002967D8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7926ED" w:rsidRDefault="007926ED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2018m.</w:t>
            </w:r>
          </w:p>
          <w:p w:rsidR="007926ED" w:rsidRDefault="007926ED" w:rsidP="003D44E3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7926ED" w:rsidRDefault="00317012">
            <w:r w:rsidRPr="00317012">
              <w:rPr>
                <w:b/>
              </w:rPr>
              <w:t>2019m</w:t>
            </w:r>
            <w:r>
              <w:t>.</w:t>
            </w:r>
          </w:p>
        </w:tc>
      </w:tr>
      <w:tr w:rsidR="007926ED" w:rsidTr="007926ED">
        <w:trPr>
          <w:cantSplit/>
          <w:trHeight w:val="408"/>
        </w:trPr>
        <w:tc>
          <w:tcPr>
            <w:tcW w:w="1923" w:type="dxa"/>
          </w:tcPr>
          <w:p w:rsidR="007926ED" w:rsidRDefault="007926ED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Bendras</w:t>
            </w:r>
          </w:p>
          <w:p w:rsidR="007926ED" w:rsidRDefault="007926ED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skaičius</w:t>
            </w:r>
          </w:p>
        </w:tc>
        <w:tc>
          <w:tcPr>
            <w:tcW w:w="1196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417" w:type="dxa"/>
          </w:tcPr>
          <w:p w:rsidR="007926ED" w:rsidRDefault="007926ED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80" w:type="dxa"/>
            <w:shd w:val="clear" w:color="auto" w:fill="auto"/>
          </w:tcPr>
          <w:p w:rsidR="007926ED" w:rsidRPr="00060642" w:rsidRDefault="00317012" w:rsidP="00060642">
            <w:pPr>
              <w:rPr>
                <w:b/>
              </w:rPr>
            </w:pPr>
            <w:r w:rsidRPr="00060642">
              <w:rPr>
                <w:b/>
              </w:rPr>
              <w:t>8</w:t>
            </w:r>
            <w:r w:rsidR="00060642" w:rsidRPr="00060642">
              <w:rPr>
                <w:b/>
              </w:rPr>
              <w:t>4</w:t>
            </w:r>
          </w:p>
        </w:tc>
      </w:tr>
      <w:tr w:rsidR="007926ED" w:rsidTr="007926ED">
        <w:trPr>
          <w:cantSplit/>
          <w:trHeight w:val="558"/>
        </w:trPr>
        <w:tc>
          <w:tcPr>
            <w:tcW w:w="1923" w:type="dxa"/>
          </w:tcPr>
          <w:p w:rsidR="007926ED" w:rsidRDefault="007926ED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Į gaisrus</w:t>
            </w:r>
          </w:p>
        </w:tc>
        <w:tc>
          <w:tcPr>
            <w:tcW w:w="1196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7" w:type="dxa"/>
          </w:tcPr>
          <w:p w:rsidR="007926ED" w:rsidRDefault="007926ED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7926ED" w:rsidRPr="00060642" w:rsidRDefault="00060642">
            <w:pPr>
              <w:rPr>
                <w:b/>
              </w:rPr>
            </w:pPr>
            <w:r w:rsidRPr="00060642">
              <w:rPr>
                <w:b/>
              </w:rPr>
              <w:t>56</w:t>
            </w:r>
          </w:p>
        </w:tc>
      </w:tr>
      <w:tr w:rsidR="007926ED" w:rsidTr="007926ED">
        <w:trPr>
          <w:cantSplit/>
          <w:trHeight w:val="832"/>
        </w:trPr>
        <w:tc>
          <w:tcPr>
            <w:tcW w:w="1923" w:type="dxa"/>
          </w:tcPr>
          <w:p w:rsidR="007926ED" w:rsidRDefault="007926ED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Į gelbėjimo</w:t>
            </w:r>
          </w:p>
          <w:p w:rsidR="007926ED" w:rsidRDefault="007926ED" w:rsidP="003D44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darbus</w:t>
            </w:r>
          </w:p>
        </w:tc>
        <w:tc>
          <w:tcPr>
            <w:tcW w:w="1196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7926ED" w:rsidRDefault="007926ED" w:rsidP="0029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7926ED" w:rsidRDefault="007926ED" w:rsidP="0001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7926ED" w:rsidRPr="00060642" w:rsidRDefault="00060642">
            <w:pPr>
              <w:rPr>
                <w:b/>
              </w:rPr>
            </w:pPr>
            <w:r w:rsidRPr="00060642">
              <w:rPr>
                <w:b/>
              </w:rPr>
              <w:t>10</w:t>
            </w:r>
          </w:p>
        </w:tc>
      </w:tr>
    </w:tbl>
    <w:p w:rsidR="00811CDA" w:rsidRDefault="00811CDA" w:rsidP="00811CDA">
      <w:pPr>
        <w:jc w:val="both"/>
      </w:pPr>
    </w:p>
    <w:p w:rsidR="00133A79" w:rsidRDefault="00133A79" w:rsidP="00811CDA">
      <w:pPr>
        <w:jc w:val="both"/>
      </w:pPr>
    </w:p>
    <w:p w:rsidR="003B6907" w:rsidRDefault="003B6907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9B0312" w:rsidRDefault="009B0312" w:rsidP="00B17DC4">
      <w:pPr>
        <w:jc w:val="center"/>
        <w:rPr>
          <w:b/>
          <w:bCs/>
        </w:rPr>
      </w:pPr>
    </w:p>
    <w:p w:rsidR="003B6907" w:rsidRDefault="003B6907" w:rsidP="00B17DC4">
      <w:pPr>
        <w:jc w:val="center"/>
        <w:rPr>
          <w:b/>
          <w:bCs/>
        </w:rPr>
      </w:pPr>
    </w:p>
    <w:p w:rsidR="00B17DC4" w:rsidRDefault="00B17DC4" w:rsidP="00B17DC4">
      <w:pPr>
        <w:jc w:val="center"/>
        <w:rPr>
          <w:b/>
          <w:bCs/>
        </w:rPr>
      </w:pPr>
      <w:r>
        <w:rPr>
          <w:b/>
          <w:bCs/>
        </w:rPr>
        <w:t>Priešgaisrinės apsaugos tarnybos ugniagesių komandų reagavimų pagal aliarmo</w:t>
      </w:r>
    </w:p>
    <w:p w:rsidR="00B17DC4" w:rsidRDefault="00B17DC4" w:rsidP="00B17DC4">
      <w:pPr>
        <w:jc w:val="center"/>
        <w:rPr>
          <w:b/>
          <w:bCs/>
        </w:rPr>
      </w:pPr>
      <w:r>
        <w:rPr>
          <w:b/>
          <w:bCs/>
        </w:rPr>
        <w:t xml:space="preserve">signalą  </w:t>
      </w:r>
      <w:r w:rsidR="003B6907">
        <w:rPr>
          <w:b/>
          <w:bCs/>
        </w:rPr>
        <w:t>201</w:t>
      </w:r>
      <w:r w:rsidR="004666E3">
        <w:rPr>
          <w:b/>
          <w:bCs/>
        </w:rPr>
        <w:t>4</w:t>
      </w:r>
      <w:r w:rsidR="003B6907">
        <w:rPr>
          <w:b/>
          <w:bCs/>
        </w:rPr>
        <w:t>-201</w:t>
      </w:r>
      <w:r w:rsidR="00060642">
        <w:rPr>
          <w:b/>
          <w:bCs/>
        </w:rPr>
        <w:t>9</w:t>
      </w:r>
      <w:r w:rsidR="003B6907">
        <w:rPr>
          <w:b/>
          <w:bCs/>
        </w:rPr>
        <w:t xml:space="preserve"> m.</w:t>
      </w:r>
      <w:r>
        <w:rPr>
          <w:b/>
          <w:bCs/>
        </w:rPr>
        <w:t xml:space="preserve">  palyginimas</w:t>
      </w:r>
    </w:p>
    <w:p w:rsidR="00133A79" w:rsidRDefault="00133A79" w:rsidP="00B17DC4">
      <w:pPr>
        <w:jc w:val="center"/>
      </w:pPr>
    </w:p>
    <w:p w:rsidR="00133A79" w:rsidRDefault="00133A79" w:rsidP="00811CDA">
      <w:pPr>
        <w:jc w:val="both"/>
      </w:pPr>
    </w:p>
    <w:p w:rsidR="00811CDA" w:rsidRDefault="00DF528A" w:rsidP="00811CDA">
      <w:pPr>
        <w:jc w:val="both"/>
      </w:pPr>
      <w:r>
        <w:rPr>
          <w:noProof/>
          <w:lang w:eastAsia="lt-LT"/>
        </w:rPr>
        <w:drawing>
          <wp:inline distT="0" distB="0" distL="0" distR="0">
            <wp:extent cx="5486400" cy="320040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3A79" w:rsidRDefault="00133A79" w:rsidP="00811CDA">
      <w:pPr>
        <w:jc w:val="both"/>
      </w:pPr>
    </w:p>
    <w:p w:rsidR="00133A79" w:rsidRDefault="00133A79" w:rsidP="00811CDA">
      <w:pPr>
        <w:jc w:val="both"/>
      </w:pPr>
    </w:p>
    <w:p w:rsidR="004E1541" w:rsidRDefault="00B17DC4">
      <w:pPr>
        <w:suppressAutoHyphens/>
        <w:ind w:firstLine="720"/>
        <w:jc w:val="both"/>
        <w:rPr>
          <w:b/>
          <w:color w:val="000000"/>
          <w:szCs w:val="24"/>
          <w:lang w:eastAsia="zh-CN"/>
        </w:rPr>
      </w:pPr>
      <w:r>
        <w:rPr>
          <w:b/>
          <w:szCs w:val="24"/>
          <w:lang w:eastAsia="zh-CN"/>
        </w:rPr>
        <w:t xml:space="preserve"> </w:t>
      </w:r>
    </w:p>
    <w:p w:rsidR="004E1541" w:rsidRDefault="004E1541">
      <w:pPr>
        <w:suppressAutoHyphens/>
        <w:jc w:val="center"/>
        <w:rPr>
          <w:b/>
          <w:color w:val="000000"/>
          <w:szCs w:val="24"/>
          <w:lang w:eastAsia="zh-CN"/>
        </w:rPr>
      </w:pPr>
    </w:p>
    <w:p w:rsidR="004E1541" w:rsidRDefault="003B6907">
      <w:pPr>
        <w:suppressAutoHyphens/>
        <w:rPr>
          <w:szCs w:val="24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</w:t>
      </w:r>
    </w:p>
    <w:p w:rsidR="00F952F5" w:rsidRDefault="00942645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</w:t>
      </w:r>
      <w:r w:rsidR="00F952F5">
        <w:rPr>
          <w:szCs w:val="24"/>
          <w:lang w:eastAsia="zh-CN"/>
        </w:rPr>
        <w:t xml:space="preserve">           </w:t>
      </w:r>
      <w:r>
        <w:rPr>
          <w:szCs w:val="24"/>
          <w:lang w:eastAsia="zh-CN"/>
        </w:rPr>
        <w:t xml:space="preserve">Tarnyba yra sudariusi </w:t>
      </w:r>
      <w:r w:rsidR="00E22C42">
        <w:rPr>
          <w:szCs w:val="24"/>
          <w:lang w:eastAsia="zh-CN"/>
        </w:rPr>
        <w:t>18</w:t>
      </w:r>
      <w:r>
        <w:rPr>
          <w:szCs w:val="24"/>
          <w:lang w:eastAsia="zh-CN"/>
        </w:rPr>
        <w:t xml:space="preserve"> sutarčių su savanoriais</w:t>
      </w:r>
      <w:r w:rsidR="00F952F5">
        <w:rPr>
          <w:szCs w:val="24"/>
          <w:lang w:eastAsia="zh-CN"/>
        </w:rPr>
        <w:t xml:space="preserve"> ugniagesiais gelbėtojais. </w:t>
      </w:r>
      <w:r w:rsidR="00E22C42">
        <w:rPr>
          <w:szCs w:val="24"/>
          <w:lang w:eastAsia="zh-CN"/>
        </w:rPr>
        <w:t>9</w:t>
      </w:r>
      <w:r w:rsidR="00F952F5">
        <w:rPr>
          <w:szCs w:val="24"/>
          <w:lang w:eastAsia="zh-CN"/>
        </w:rPr>
        <w:t xml:space="preserve"> sutartis su savanoriais dalyvaujančiais gaisrų gesinime ir </w:t>
      </w:r>
      <w:r w:rsidR="00E22C42">
        <w:rPr>
          <w:szCs w:val="24"/>
          <w:lang w:eastAsia="zh-CN"/>
        </w:rPr>
        <w:t>9</w:t>
      </w:r>
      <w:r w:rsidR="00F952F5">
        <w:rPr>
          <w:szCs w:val="24"/>
          <w:lang w:eastAsia="zh-CN"/>
        </w:rPr>
        <w:t xml:space="preserve"> sutartis su savanoriais nedalyvaujančiais gaisrų gesinime, bet vykdančiais visuomenės švietimą gaisrų </w:t>
      </w:r>
      <w:proofErr w:type="spellStart"/>
      <w:r w:rsidR="00F952F5">
        <w:rPr>
          <w:szCs w:val="24"/>
          <w:lang w:eastAsia="zh-CN"/>
        </w:rPr>
        <w:t>prevencijo</w:t>
      </w:r>
      <w:proofErr w:type="spellEnd"/>
      <w:r w:rsidR="00F952F5">
        <w:rPr>
          <w:szCs w:val="24"/>
          <w:lang w:eastAsia="zh-CN"/>
        </w:rPr>
        <w:t xml:space="preserve"> srityje.</w:t>
      </w:r>
    </w:p>
    <w:p w:rsidR="00F952F5" w:rsidRDefault="00F952F5" w:rsidP="00E22C42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          2017 m. savanoriai</w:t>
      </w:r>
      <w:r w:rsidR="00E22C42">
        <w:rPr>
          <w:szCs w:val="24"/>
          <w:lang w:eastAsia="zh-CN"/>
        </w:rPr>
        <w:t xml:space="preserve"> -</w:t>
      </w:r>
      <w:r>
        <w:rPr>
          <w:szCs w:val="24"/>
          <w:lang w:eastAsia="zh-CN"/>
        </w:rPr>
        <w:t xml:space="preserve"> 2 kartus, </w:t>
      </w:r>
      <w:r w:rsidR="00E22C42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2016 m. – 3 </w:t>
      </w:r>
      <w:proofErr w:type="spellStart"/>
      <w:r>
        <w:rPr>
          <w:szCs w:val="24"/>
          <w:lang w:eastAsia="zh-CN"/>
        </w:rPr>
        <w:t>katus</w:t>
      </w:r>
      <w:proofErr w:type="spellEnd"/>
      <w:r w:rsidR="00E22C42">
        <w:rPr>
          <w:szCs w:val="24"/>
          <w:lang w:eastAsia="zh-CN"/>
        </w:rPr>
        <w:t>, o 2018 m. – 1 kartą</w:t>
      </w:r>
      <w:r w:rsidR="00E22C42" w:rsidRPr="00E22C42">
        <w:rPr>
          <w:szCs w:val="24"/>
          <w:lang w:eastAsia="zh-CN"/>
        </w:rPr>
        <w:t xml:space="preserve"> </w:t>
      </w:r>
      <w:r w:rsidR="00E22C42">
        <w:rPr>
          <w:szCs w:val="24"/>
          <w:lang w:eastAsia="zh-CN"/>
        </w:rPr>
        <w:t xml:space="preserve">padėjo rajono ugniagesiams gelbėtojams gesinti </w:t>
      </w:r>
      <w:proofErr w:type="spellStart"/>
      <w:r w:rsidR="00E22C42">
        <w:rPr>
          <w:szCs w:val="24"/>
          <w:lang w:eastAsia="zh-CN"/>
        </w:rPr>
        <w:t>gasisrus</w:t>
      </w:r>
      <w:proofErr w:type="spellEnd"/>
      <w:r w:rsidR="00E22C42">
        <w:rPr>
          <w:szCs w:val="24"/>
          <w:lang w:eastAsia="zh-CN"/>
        </w:rPr>
        <w:t xml:space="preserve"> </w:t>
      </w:r>
      <w:r w:rsidR="00B7734F">
        <w:rPr>
          <w:szCs w:val="24"/>
          <w:lang w:eastAsia="zh-CN"/>
        </w:rPr>
        <w:t>.</w:t>
      </w: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B7734F" w:rsidP="00B7734F">
      <w:pPr>
        <w:tabs>
          <w:tab w:val="left" w:pos="1134"/>
        </w:tabs>
        <w:suppressAutoHyphens/>
        <w:jc w:val="both"/>
        <w:rPr>
          <w:szCs w:val="24"/>
          <w:lang w:eastAsia="zh-CN"/>
        </w:rPr>
      </w:pPr>
      <w:r>
        <w:rPr>
          <w:szCs w:val="24"/>
          <w:lang w:eastAsia="zh-CN"/>
        </w:rPr>
        <w:t>Viršininkas                                                                                                  Arvydas Grybauskas</w:t>
      </w: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3E1A6A" w:rsidRDefault="003E1A6A">
      <w:pPr>
        <w:tabs>
          <w:tab w:val="left" w:pos="1134"/>
        </w:tabs>
        <w:suppressAutoHyphens/>
        <w:ind w:firstLine="1134"/>
        <w:jc w:val="both"/>
        <w:rPr>
          <w:szCs w:val="24"/>
          <w:lang w:eastAsia="zh-CN"/>
        </w:rPr>
      </w:pPr>
    </w:p>
    <w:p w:rsidR="004E1541" w:rsidRDefault="003B6907" w:rsidP="00B3645A">
      <w:pPr>
        <w:suppressAutoHyphens/>
        <w:jc w:val="both"/>
        <w:rPr>
          <w:szCs w:val="24"/>
          <w:lang w:eastAsia="ar-SA"/>
        </w:rPr>
      </w:pPr>
      <w:bookmarkStart w:id="0" w:name="_GoBack"/>
      <w:bookmarkEnd w:id="0"/>
      <w:r>
        <w:rPr>
          <w:szCs w:val="24"/>
          <w:lang w:eastAsia="zh-CN"/>
        </w:rPr>
        <w:t xml:space="preserve"> </w:t>
      </w:r>
    </w:p>
    <w:p w:rsidR="004E1541" w:rsidRDefault="004E1541">
      <w:pPr>
        <w:suppressAutoHyphens/>
        <w:rPr>
          <w:szCs w:val="24"/>
          <w:lang w:eastAsia="ar-SA"/>
        </w:rPr>
      </w:pPr>
    </w:p>
    <w:sectPr w:rsidR="004E1541" w:rsidSect="00594591">
      <w:footerReference w:type="default" r:id="rId9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7E" w:rsidRDefault="0051177E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separator/>
      </w:r>
    </w:p>
  </w:endnote>
  <w:endnote w:type="continuationSeparator" w:id="0">
    <w:p w:rsidR="0051177E" w:rsidRDefault="0051177E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41" w:rsidRDefault="00B3645A">
    <w:pPr>
      <w:tabs>
        <w:tab w:val="center" w:pos="4680"/>
        <w:tab w:val="right" w:pos="9360"/>
      </w:tabs>
      <w:suppressAutoHyphens/>
      <w:textAlignment w:val="baseline"/>
      <w:rPr>
        <w:sz w:val="16"/>
        <w:szCs w:val="16"/>
        <w:lang w:eastAsia="ar-SA"/>
      </w:rPr>
    </w:pPr>
    <w:r>
      <w:rPr>
        <w:szCs w:val="24"/>
        <w:lang w:eastAsia="ar-SA"/>
      </w:rPr>
      <w:tab/>
    </w:r>
    <w:r>
      <w:rPr>
        <w:szCs w:val="24"/>
        <w:lang w:eastAsia="ar-SA"/>
      </w:rPr>
      <w:tab/>
    </w:r>
    <w:r>
      <w:rPr>
        <w:sz w:val="16"/>
        <w:szCs w:val="16"/>
        <w:lang w:eastAsia="ar-SA"/>
      </w:rPr>
      <w:t>ts-11 2016 10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7E" w:rsidRDefault="0051177E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separator/>
      </w:r>
    </w:p>
  </w:footnote>
  <w:footnote w:type="continuationSeparator" w:id="0">
    <w:p w:rsidR="0051177E" w:rsidRDefault="0051177E">
      <w:pPr>
        <w:suppressAutoHyphens/>
        <w:rPr>
          <w:szCs w:val="24"/>
          <w:lang w:val="ru-RU" w:eastAsia="ar-SA"/>
        </w:rPr>
      </w:pPr>
      <w:r>
        <w:rPr>
          <w:szCs w:val="24"/>
          <w:lang w:val="ru-RU" w:eastAsia="ar-S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3B"/>
    <w:rsid w:val="00011B0D"/>
    <w:rsid w:val="00040802"/>
    <w:rsid w:val="0004087A"/>
    <w:rsid w:val="00045D1A"/>
    <w:rsid w:val="000543B5"/>
    <w:rsid w:val="00060642"/>
    <w:rsid w:val="00090124"/>
    <w:rsid w:val="00103BF3"/>
    <w:rsid w:val="00111772"/>
    <w:rsid w:val="0012102C"/>
    <w:rsid w:val="001236DE"/>
    <w:rsid w:val="00133A79"/>
    <w:rsid w:val="00160E92"/>
    <w:rsid w:val="00164C5D"/>
    <w:rsid w:val="00172834"/>
    <w:rsid w:val="001A5009"/>
    <w:rsid w:val="001B2A71"/>
    <w:rsid w:val="002027FF"/>
    <w:rsid w:val="00203B4C"/>
    <w:rsid w:val="002418DE"/>
    <w:rsid w:val="00273EB3"/>
    <w:rsid w:val="002C20EE"/>
    <w:rsid w:val="002D5A3B"/>
    <w:rsid w:val="00316C67"/>
    <w:rsid w:val="00317012"/>
    <w:rsid w:val="00325A06"/>
    <w:rsid w:val="003820C0"/>
    <w:rsid w:val="003930E1"/>
    <w:rsid w:val="0039363B"/>
    <w:rsid w:val="00395EFB"/>
    <w:rsid w:val="003B6907"/>
    <w:rsid w:val="003D37E6"/>
    <w:rsid w:val="003E1A6A"/>
    <w:rsid w:val="003E5268"/>
    <w:rsid w:val="003F3913"/>
    <w:rsid w:val="00406EF8"/>
    <w:rsid w:val="00411071"/>
    <w:rsid w:val="00413D56"/>
    <w:rsid w:val="00433705"/>
    <w:rsid w:val="0045415A"/>
    <w:rsid w:val="0045775A"/>
    <w:rsid w:val="00460576"/>
    <w:rsid w:val="004666E3"/>
    <w:rsid w:val="00477131"/>
    <w:rsid w:val="00490B9F"/>
    <w:rsid w:val="00496BD2"/>
    <w:rsid w:val="004B5754"/>
    <w:rsid w:val="004C073B"/>
    <w:rsid w:val="004C0D33"/>
    <w:rsid w:val="004D5126"/>
    <w:rsid w:val="004E1541"/>
    <w:rsid w:val="004F0379"/>
    <w:rsid w:val="005051F2"/>
    <w:rsid w:val="0051177E"/>
    <w:rsid w:val="00573C82"/>
    <w:rsid w:val="00594591"/>
    <w:rsid w:val="0059552C"/>
    <w:rsid w:val="005D7E18"/>
    <w:rsid w:val="006270F7"/>
    <w:rsid w:val="00652F49"/>
    <w:rsid w:val="00655094"/>
    <w:rsid w:val="00656E29"/>
    <w:rsid w:val="006B7934"/>
    <w:rsid w:val="006D3384"/>
    <w:rsid w:val="006F741A"/>
    <w:rsid w:val="00761408"/>
    <w:rsid w:val="00773D16"/>
    <w:rsid w:val="007926ED"/>
    <w:rsid w:val="00793424"/>
    <w:rsid w:val="007B2B85"/>
    <w:rsid w:val="007D699D"/>
    <w:rsid w:val="007E28D3"/>
    <w:rsid w:val="007E416B"/>
    <w:rsid w:val="007F4C81"/>
    <w:rsid w:val="00811CDA"/>
    <w:rsid w:val="00830CDF"/>
    <w:rsid w:val="0085641A"/>
    <w:rsid w:val="00860C7B"/>
    <w:rsid w:val="00872EAE"/>
    <w:rsid w:val="00880DF2"/>
    <w:rsid w:val="008D453D"/>
    <w:rsid w:val="00930D4D"/>
    <w:rsid w:val="00942645"/>
    <w:rsid w:val="009748BD"/>
    <w:rsid w:val="009811A7"/>
    <w:rsid w:val="00986B11"/>
    <w:rsid w:val="009A118A"/>
    <w:rsid w:val="009B0312"/>
    <w:rsid w:val="009F3A96"/>
    <w:rsid w:val="00A018F6"/>
    <w:rsid w:val="00A05C27"/>
    <w:rsid w:val="00A22F43"/>
    <w:rsid w:val="00A3533E"/>
    <w:rsid w:val="00A528E3"/>
    <w:rsid w:val="00AE0952"/>
    <w:rsid w:val="00AE1515"/>
    <w:rsid w:val="00AE45CD"/>
    <w:rsid w:val="00AE4A70"/>
    <w:rsid w:val="00AF4501"/>
    <w:rsid w:val="00AF6A79"/>
    <w:rsid w:val="00B17DC4"/>
    <w:rsid w:val="00B300C6"/>
    <w:rsid w:val="00B32F56"/>
    <w:rsid w:val="00B3645A"/>
    <w:rsid w:val="00B7734F"/>
    <w:rsid w:val="00BA6373"/>
    <w:rsid w:val="00BB3C50"/>
    <w:rsid w:val="00BB5394"/>
    <w:rsid w:val="00BC7873"/>
    <w:rsid w:val="00C57713"/>
    <w:rsid w:val="00C73919"/>
    <w:rsid w:val="00C875F6"/>
    <w:rsid w:val="00C91AAD"/>
    <w:rsid w:val="00D26F50"/>
    <w:rsid w:val="00D271FB"/>
    <w:rsid w:val="00D45718"/>
    <w:rsid w:val="00D57B1C"/>
    <w:rsid w:val="00D7595A"/>
    <w:rsid w:val="00D76139"/>
    <w:rsid w:val="00D942D3"/>
    <w:rsid w:val="00DB311D"/>
    <w:rsid w:val="00DC53D6"/>
    <w:rsid w:val="00DD1976"/>
    <w:rsid w:val="00DE08FA"/>
    <w:rsid w:val="00DF528A"/>
    <w:rsid w:val="00E02538"/>
    <w:rsid w:val="00E06F02"/>
    <w:rsid w:val="00E22C42"/>
    <w:rsid w:val="00E44CB5"/>
    <w:rsid w:val="00E70AFD"/>
    <w:rsid w:val="00E77DD1"/>
    <w:rsid w:val="00E82161"/>
    <w:rsid w:val="00ED315F"/>
    <w:rsid w:val="00F03B16"/>
    <w:rsid w:val="00F1131B"/>
    <w:rsid w:val="00F121EF"/>
    <w:rsid w:val="00F36064"/>
    <w:rsid w:val="00F3781F"/>
    <w:rsid w:val="00F470D6"/>
    <w:rsid w:val="00F75542"/>
    <w:rsid w:val="00F9300A"/>
    <w:rsid w:val="00F952F5"/>
    <w:rsid w:val="00FE4B69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5945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945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9459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36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364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5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777025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634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5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0678772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02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title>
      <c:tx>
        <c:rich>
          <a:bodyPr/>
          <a:lstStyle/>
          <a:p>
            <a:pPr>
              <a:defRPr/>
            </a:pPr>
            <a:r>
              <a:rPr lang="lt-LT"/>
              <a:t> </a:t>
            </a:r>
            <a:endParaRPr lang="en-US"/>
          </a:p>
        </c:rich>
      </c:tx>
      <c:layout>
        <c:manualLayout>
          <c:xMode val="edge"/>
          <c:yMode val="edge"/>
          <c:x val="0.43491889034704284"/>
          <c:y val="5.158730158730157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cat>
            <c:strRef>
              <c:f>Lapas1!$A$2:$A$12</c:f>
              <c:strCache>
                <c:ptCount val="10"/>
                <c:pt idx="0">
                  <c:v>Darbo užmokestis</c:v>
                </c:pt>
                <c:pt idx="1">
                  <c:v>Soc. draudimas</c:v>
                </c:pt>
                <c:pt idx="2">
                  <c:v> Transporto išlaikymas</c:v>
                </c:pt>
                <c:pt idx="3">
                  <c:v> Ryšiai</c:v>
                </c:pt>
                <c:pt idx="4">
                  <c:v>Apranga</c:v>
                </c:pt>
                <c:pt idx="5">
                  <c:v>Komunalinės išlaidos</c:v>
                </c:pt>
                <c:pt idx="6">
                  <c:v>Kitos paslaugos</c:v>
                </c:pt>
                <c:pt idx="7">
                  <c:v>Medikamentai154,06</c:v>
                </c:pt>
                <c:pt idx="8">
                  <c:v>IT remontas</c:v>
                </c:pt>
                <c:pt idx="9">
                  <c:v>Kitos prekės</c:v>
                </c:pt>
              </c:strCache>
            </c:strRef>
          </c:cat>
          <c:val>
            <c:numRef>
              <c:f>Lapas1!$B$2:$B$12</c:f>
              <c:numCache>
                <c:formatCode>General</c:formatCode>
                <c:ptCount val="11"/>
                <c:pt idx="0">
                  <c:v>244903.31999999998</c:v>
                </c:pt>
                <c:pt idx="1">
                  <c:v>3995.94</c:v>
                </c:pt>
                <c:pt idx="2">
                  <c:v>4926.01</c:v>
                </c:pt>
                <c:pt idx="3">
                  <c:v>316.33</c:v>
                </c:pt>
                <c:pt idx="4">
                  <c:v>2767.64</c:v>
                </c:pt>
                <c:pt idx="5">
                  <c:v>3159.8100000000022</c:v>
                </c:pt>
                <c:pt idx="6">
                  <c:v>234</c:v>
                </c:pt>
                <c:pt idx="7">
                  <c:v>136.91999999999999</c:v>
                </c:pt>
                <c:pt idx="8">
                  <c:v>2504.11</c:v>
                </c:pt>
                <c:pt idx="9">
                  <c:v>3184.4300000000012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Bendras sk.Į gaisrus</c:v>
                </c:pt>
              </c:strCache>
            </c:strRef>
          </c:tx>
          <c:cat>
            <c:numRef>
              <c:f>Lapas1!$A$2:$A$7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Lapas1!$B$2:$B$7</c:f>
              <c:numCache>
                <c:formatCode>General</c:formatCode>
                <c:ptCount val="6"/>
                <c:pt idx="0">
                  <c:v>123</c:v>
                </c:pt>
                <c:pt idx="1">
                  <c:v>123</c:v>
                </c:pt>
                <c:pt idx="2">
                  <c:v>82</c:v>
                </c:pt>
                <c:pt idx="3">
                  <c:v>92</c:v>
                </c:pt>
                <c:pt idx="4">
                  <c:v>85</c:v>
                </c:pt>
                <c:pt idx="5">
                  <c:v>84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Į gaisrus</c:v>
                </c:pt>
              </c:strCache>
            </c:strRef>
          </c:tx>
          <c:cat>
            <c:numRef>
              <c:f>Lapas1!$A$2:$A$7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Lapas1!$C$2:$C$7</c:f>
              <c:numCache>
                <c:formatCode>General</c:formatCode>
                <c:ptCount val="6"/>
                <c:pt idx="0">
                  <c:v>62</c:v>
                </c:pt>
                <c:pt idx="1">
                  <c:v>73</c:v>
                </c:pt>
                <c:pt idx="2">
                  <c:v>33</c:v>
                </c:pt>
                <c:pt idx="3">
                  <c:v>60</c:v>
                </c:pt>
                <c:pt idx="4">
                  <c:v>51</c:v>
                </c:pt>
                <c:pt idx="5">
                  <c:v>56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Į gelbėjimo darbus</c:v>
                </c:pt>
              </c:strCache>
            </c:strRef>
          </c:tx>
          <c:cat>
            <c:numRef>
              <c:f>Lapas1!$A$2:$A$7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Lapas1!$D$2:$D$7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axId val="80108928"/>
        <c:axId val="80118912"/>
      </c:barChart>
      <c:catAx>
        <c:axId val="80108928"/>
        <c:scaling>
          <c:orientation val="minMax"/>
        </c:scaling>
        <c:axPos val="b"/>
        <c:numFmt formatCode="General" sourceLinked="1"/>
        <c:tickLblPos val="nextTo"/>
        <c:crossAx val="80118912"/>
        <c:crosses val="autoZero"/>
        <c:auto val="1"/>
        <c:lblAlgn val="ctr"/>
        <c:lblOffset val="100"/>
      </c:catAx>
      <c:valAx>
        <c:axId val="80118912"/>
        <c:scaling>
          <c:orientation val="minMax"/>
        </c:scaling>
        <c:axPos val="l"/>
        <c:majorGridlines/>
        <c:numFmt formatCode="General" sourceLinked="1"/>
        <c:tickLblPos val="nextTo"/>
        <c:crossAx val="8010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C00F-3543-4028-9B01-DAD8486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5069</Words>
  <Characters>2890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SLAUGYTOJOS – DIETISTĖS 2015 METŲ VEIKLOS PLANAS</vt:lpstr>
      <vt:lpstr>SLAUGYTOJOS – DIETISTĖS 2015 METŲ VEIKLOS PLANAS</vt:lpstr>
    </vt:vector>
  </TitlesOfParts>
  <Company/>
  <LinksUpToDate>false</LinksUpToDate>
  <CharactersWithSpaces>7944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SLAUGYTOJOS – DIETISTĖS 2015 METŲ VEIKLOS PLANAS</dc:title>
  <dc:creator>Daugeliskio</dc:creator>
  <cp:lastModifiedBy>Windows User</cp:lastModifiedBy>
  <cp:revision>65</cp:revision>
  <cp:lastPrinted>2016-10-20T12:43:00Z</cp:lastPrinted>
  <dcterms:created xsi:type="dcterms:W3CDTF">2018-02-07T08:10:00Z</dcterms:created>
  <dcterms:modified xsi:type="dcterms:W3CDTF">2020-01-22T07:13:00Z</dcterms:modified>
</cp:coreProperties>
</file>